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rPr>
          <w:rFonts w:hint="eastAsia" w:ascii="方正小标宋简体" w:hAnsi="方正小标宋简体" w:eastAsia="方正小标宋简体" w:cs="方正小标宋简体"/>
          <w:b w:val="0"/>
          <w:bCs w:val="0"/>
          <w:spacing w:val="0"/>
          <w:w w:val="100"/>
        </w:rPr>
      </w:pPr>
    </w:p>
    <w:p>
      <w:pPr>
        <w:rPr>
          <w:rFonts w:hint="eastAsia" w:ascii="方正小标宋简体" w:hAnsi="方正小标宋简体" w:eastAsia="方正小标宋简体" w:cs="方正小标宋简体"/>
          <w:b w:val="0"/>
          <w:bCs w:val="0"/>
          <w:spacing w:val="0"/>
          <w:w w:val="100"/>
        </w:rPr>
      </w:pPr>
    </w:p>
    <w:p>
      <w:pPr>
        <w:rPr>
          <w:rFonts w:hint="eastAsia" w:ascii="方正小标宋简体" w:hAnsi="方正小标宋简体" w:eastAsia="方正小标宋简体" w:cs="方正小标宋简体"/>
          <w:b w:val="0"/>
          <w:bCs w:val="0"/>
          <w:spacing w:val="0"/>
          <w:w w:val="100"/>
        </w:rPr>
      </w:pPr>
    </w:p>
    <w:p>
      <w:pPr>
        <w:rPr>
          <w:rFonts w:hint="eastAsia" w:ascii="方正小标宋简体" w:hAnsi="方正小标宋简体" w:eastAsia="方正小标宋简体" w:cs="方正小标宋简体"/>
          <w:b w:val="0"/>
          <w:bCs w:val="0"/>
          <w:color w:val="FF0000"/>
          <w:spacing w:val="-34"/>
          <w:w w:val="100"/>
          <w:sz w:val="112"/>
          <w:szCs w:val="112"/>
          <w:lang w:eastAsia="zh-CN"/>
        </w:rPr>
      </w:pPr>
      <w:r>
        <w:rPr>
          <w:rFonts w:hint="eastAsia" w:ascii="方正小标宋简体" w:hAnsi="方正小标宋简体" w:eastAsia="方正小标宋简体" w:cs="方正小标宋简体"/>
          <w:b w:val="0"/>
          <w:bCs w:val="0"/>
          <w:color w:val="FF0000"/>
          <w:spacing w:val="-34"/>
          <w:w w:val="100"/>
          <w:sz w:val="112"/>
          <w:szCs w:val="112"/>
          <w:lang w:eastAsia="zh-CN"/>
        </w:rPr>
        <w:t>会昌县财政局文件</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rFonts w:hint="eastAsia" w:ascii="方正小标宋简体" w:hAnsi="方正小标宋简体" w:eastAsia="方正小标宋简体" w:cs="方正小标宋简体"/>
          <w:b w:val="0"/>
          <w:bCs w:val="0"/>
          <w:color w:val="FF0000"/>
          <w:spacing w:val="-34"/>
          <w:w w:val="100"/>
          <w:sz w:val="112"/>
          <w:szCs w:val="11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会财绩字〔2022〕8号</w:t>
      </w:r>
    </w:p>
    <w:p>
      <w:pPr>
        <w:rPr>
          <w:rFonts w:hint="default"/>
          <w:lang w:val="en-US" w:eastAsia="zh-CN"/>
        </w:rPr>
      </w:pPr>
      <w:r>
        <w:rPr>
          <w:sz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92710</wp:posOffset>
                </wp:positionV>
                <wp:extent cx="5572760" cy="0"/>
                <wp:effectExtent l="0" t="0" r="0" b="0"/>
                <wp:wrapNone/>
                <wp:docPr id="1" name="直接连接符 1"/>
                <wp:cNvGraphicFramePr/>
                <a:graphic xmlns:a="http://schemas.openxmlformats.org/drawingml/2006/main">
                  <a:graphicData uri="http://schemas.microsoft.com/office/word/2010/wordprocessingShape">
                    <wps:wsp>
                      <wps:cNvCnPr/>
                      <wps:spPr>
                        <a:xfrm>
                          <a:off x="1007745" y="4039235"/>
                          <a:ext cx="55727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3pt;height:0pt;width:438.8pt;z-index:251661312;mso-width-relative:page;mso-height-relative:page;" filled="f" stroked="t" coordsize="21600,21600" o:gfxdata="UEsDBAoAAAAAAIdO4kAAAAAAAAAAAAAAAAAEAAAAZHJzL1BLAwQUAAAACACHTuJAx0ZGddUAAAAG&#10;AQAADwAAAGRycy9kb3ducmV2LnhtbE2PMU/DMBCFdyT+g3WV2KgThJIqxOkQCZUBqWroAJsbH0lU&#10;+xzFbhP+PYcYYLt77/Tue+V2cVZccQqDJwXpOgGB1HozUKfg+PZ8vwERoiajrSdU8IUBttXtTakL&#10;42c64LWJneAQCoVW0Mc4FlKGtkenw9qPSOx9+snpyOvUSTPpmcOdlQ9JkkmnB+IPvR6x7rE9Nxen&#10;4H2/24+vdZ35l4/dvHRZ2hxyq9TdKk2eQERc4t8x/OAzOlTMdPIXMkFYBVwksvqYgWB3k+c8nH4F&#10;WZXyP371DVBLAwQUAAAACACHTuJAswEeJekBAACnAwAADgAAAGRycy9lMm9Eb2MueG1srVPNjtMw&#10;EL4j8Q6W7zRpd7Nlo6Z72KpcEFQCHsB17MSS/+TxNu1L8AJI3ODEkTtvs8tjMHbCLiyXPZCDM7a/&#10;fDPfN5PV1dFochABlLMNnc9KSoTlrlW2a+iH99sXLymByGzLtLOioScB9Gr9/Nlq8LVYuN7pVgSC&#10;JBbqwTe0j9HXRQG8F4bBzHlh8VK6YFjEbeiKNrAB2Y0uFmV5UQwutD44LgDwdDNe0okxPIXQSam4&#10;2Dh+Y4SNI2sQmkWUBL3yQNe5WikFj2+lBBGJbigqjXnFJBjv01qsV6zuAvO94lMJ7CklPNJkmLKY&#10;9J5qwyIjN0H9Q2UUDw6cjDPuTDEKyY6ginn5yJt3PfMia0Grwd+bDv+Plr857AJRLU4CJZYZbPjd&#10;p++3H7/8/PEZ17tvX8k8mTR4qBF7bXdh2oHfhaT4KINJb9RCjkhTlsvleUXJqaHn5dnl4qwaTRbH&#10;SDgCqmq5WF6g/xwRuQHFA4kPEF8JZ0gKGqqVTfpZzQ6vIWJihP6GpGPrtkrr3ENtyYDZL8sqUTMc&#10;TIkDgaHxKA5sRwnTHU48jyFTgtOqTZ8nIgjd/loHcmA4J9ttiU+qGtP9BUu5Nwz6EZevJpi2iE4m&#10;jbakaO/aU3Yrn2P/Mt80a2lA/tznrx/+r/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0ZGddUA&#10;AAAGAQAADwAAAAAAAAABACAAAAAiAAAAZHJzL2Rvd25yZXYueG1sUEsBAhQAFAAAAAgAh07iQLMB&#10;HiXpAQAApwMAAA4AAAAAAAAAAQAgAAAAJAEAAGRycy9lMm9Eb2MueG1sUEsFBgAAAAAGAAYAWQEA&#10;AH8FAAAAAA==&#10;">
                <v:fill on="f" focussize="0,0"/>
                <v:stroke weight="1.5pt" color="#FF0000 [3204]" joinstyle="round"/>
                <v:imagedata o:title=""/>
                <o:lock v:ext="edit" aspectratio="f"/>
              </v:line>
            </w:pict>
          </mc:Fallback>
        </mc:AlternateConten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ascii="方正小标宋简体" w:hAnsi="方正小标宋简体" w:eastAsia="方正小标宋简体" w:cs="方正小标宋简体"/>
          <w:b w:val="0"/>
          <w:bCs w:val="0"/>
          <w:spacing w:val="0"/>
          <w:w w:val="100"/>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right="0"/>
        <w:textAlignment w:val="auto"/>
        <w:rPr>
          <w:rFonts w:hint="eastAsia" w:ascii="方正小标宋简体" w:hAnsi="方正小标宋简体" w:eastAsia="方正小标宋简体" w:cs="方正小标宋简体"/>
          <w:b w:val="0"/>
          <w:bCs w:val="0"/>
          <w:spacing w:val="0"/>
          <w:w w:val="100"/>
          <w:lang w:eastAsia="zh-CN"/>
        </w:rPr>
      </w:pPr>
      <w:r>
        <w:rPr>
          <w:rFonts w:hint="eastAsia" w:ascii="方正小标宋简体" w:hAnsi="方正小标宋简体" w:eastAsia="方正小标宋简体" w:cs="方正小标宋简体"/>
          <w:b w:val="0"/>
          <w:bCs w:val="0"/>
          <w:spacing w:val="0"/>
          <w:w w:val="100"/>
        </w:rPr>
        <w:t>关于做好2022</w:t>
      </w:r>
      <w:r>
        <w:rPr>
          <w:rFonts w:hint="eastAsia" w:ascii="方正小标宋简体" w:hAnsi="方正小标宋简体" w:eastAsia="方正小标宋简体" w:cs="方正小标宋简体"/>
          <w:b w:val="0"/>
          <w:bCs w:val="0"/>
          <w:spacing w:val="0"/>
          <w:w w:val="100"/>
          <w:lang w:eastAsia="zh-CN"/>
        </w:rPr>
        <w:t>年度</w:t>
      </w:r>
      <w:r>
        <w:rPr>
          <w:rFonts w:hint="eastAsia" w:ascii="方正小标宋简体" w:hAnsi="方正小标宋简体" w:eastAsia="方正小标宋简体" w:cs="方正小标宋简体"/>
          <w:b w:val="0"/>
          <w:bCs w:val="0"/>
          <w:spacing w:val="0"/>
          <w:w w:val="100"/>
        </w:rPr>
        <w:t>绩效运行监控工作的通</w:t>
      </w:r>
      <w:r>
        <w:rPr>
          <w:rFonts w:hint="eastAsia" w:ascii="方正小标宋简体" w:hAnsi="方正小标宋简体" w:eastAsia="方正小标宋简体" w:cs="方正小标宋简体"/>
          <w:b w:val="0"/>
          <w:bCs w:val="0"/>
          <w:spacing w:val="0"/>
          <w:w w:val="100"/>
          <w:lang w:eastAsia="zh-CN"/>
        </w:rPr>
        <w:t>知</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textAlignment w:val="auto"/>
        <w:rPr>
          <w:rFonts w:ascii="宋体"/>
          <w:spacing w:val="0"/>
          <w:w w:val="100"/>
          <w:sz w:val="54"/>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3" w:firstLineChars="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各预算单位</w:t>
      </w:r>
      <w:r>
        <w:rPr>
          <w:rFonts w:hint="eastAsia" w:ascii="仿宋_GB2312" w:hAnsi="仿宋_GB2312" w:eastAsia="仿宋_GB2312" w:cs="仿宋_GB2312"/>
          <w:spacing w:val="0"/>
          <w:w w:val="10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z w:val="32"/>
          <w:szCs w:val="32"/>
        </w:rPr>
        <w:t>为深入贯彻落实《中共会昌县委县人民政府关于全面实施预算绩效管理的实施意见》（会发〔2020〕1号)文件要求，</w:t>
      </w:r>
      <w:r>
        <w:rPr>
          <w:rFonts w:hint="eastAsia" w:ascii="仿宋_GB2312" w:hAnsi="仿宋_GB2312" w:eastAsia="仿宋_GB2312" w:cs="仿宋_GB2312"/>
          <w:spacing w:val="0"/>
          <w:w w:val="100"/>
          <w:sz w:val="32"/>
          <w:szCs w:val="32"/>
        </w:rPr>
        <w:t>强化各部门各单位的预算绩效主体责任和绩效意识，提高财政资源使用效益，现就做好2022年度绩效运行监控（以下简称绩效监控）工作有关事项通知如下：</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一、全面开展绩效监控</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对预算执行情况和绩效目标实现程度开展“双监控”，是及时纠正偏差、堵塞管理漏洞、确保预算资金安全有效、保障绩效目标如期实现的重要手段。各部门是本部门绩效监控的责任主体</w:t>
      </w:r>
      <w:r>
        <w:rPr>
          <w:rFonts w:hint="eastAsia" w:ascii="仿宋_GB2312" w:hAnsi="仿宋_GB2312" w:eastAsia="仿宋_GB2312" w:cs="仿宋_GB2312"/>
          <w:spacing w:val="0"/>
          <w:w w:val="100"/>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仿宋" w:hAnsi="仿宋" w:eastAsia="仿宋" w:cs="仿宋"/>
          <w:spacing w:val="0"/>
          <w:w w:val="100"/>
          <w:sz w:val="32"/>
          <w:szCs w:val="32"/>
        </w:rPr>
      </w:pPr>
      <w:r>
        <w:rPr>
          <w:rFonts w:hint="eastAsia" w:ascii="仿宋_GB2312" w:hAnsi="仿宋_GB2312" w:eastAsia="仿宋_GB2312" w:cs="仿宋_GB2312"/>
          <w:spacing w:val="0"/>
          <w:w w:val="100"/>
          <w:sz w:val="32"/>
          <w:szCs w:val="32"/>
        </w:rPr>
        <w:t>开展绩效监控时，要认真对照批复的绩效目标，以绩效目标执行情况为重点收集绩效监控信息，采用目标比较法，用定量分析和定性分析相结合的方式，将绩效实现情况与预期绩效目标进行比较，对目标完成、预算执行、组织实施、资金管理等情况进行分析评判，对偏离绩效目标的原因进行分析，对全年绩效目标完成情况进行预计，并对预计年底不能完成目标的原因及拟采取的改进措施做出说明。</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黑体" w:hAnsi="黑体" w:eastAsia="黑体" w:cs="黑体"/>
          <w:spacing w:val="0"/>
          <w:w w:val="100"/>
          <w:sz w:val="32"/>
          <w:szCs w:val="32"/>
          <w:lang w:eastAsia="zh-CN"/>
        </w:rPr>
      </w:pPr>
      <w:r>
        <w:rPr>
          <w:rFonts w:hint="eastAsia" w:ascii="黑体" w:hAnsi="黑体" w:eastAsia="黑体" w:cs="黑体"/>
          <w:spacing w:val="0"/>
          <w:w w:val="100"/>
          <w:sz w:val="32"/>
          <w:szCs w:val="32"/>
          <w:lang w:eastAsia="zh-CN"/>
        </w:rPr>
        <w:t>二</w:t>
      </w:r>
      <w:r>
        <w:rPr>
          <w:rFonts w:hint="eastAsia" w:ascii="黑体" w:hAnsi="黑体" w:eastAsia="黑体" w:cs="黑体"/>
          <w:spacing w:val="0"/>
          <w:w w:val="100"/>
          <w:sz w:val="32"/>
          <w:szCs w:val="32"/>
        </w:rPr>
        <w:t>、</w:t>
      </w:r>
      <w:r>
        <w:rPr>
          <w:rFonts w:hint="eastAsia" w:ascii="黑体" w:hAnsi="黑体" w:eastAsia="黑体" w:cs="黑体"/>
          <w:spacing w:val="0"/>
          <w:w w:val="100"/>
          <w:sz w:val="32"/>
          <w:szCs w:val="32"/>
          <w:lang w:eastAsia="zh-CN"/>
        </w:rPr>
        <w:t>绩效监控工作</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3" w:firstLineChars="200"/>
        <w:textAlignment w:val="auto"/>
        <w:rPr>
          <w:rFonts w:hint="eastAsia" w:ascii="仿宋" w:hAnsi="仿宋" w:eastAsia="仿宋" w:cs="仿宋"/>
          <w:spacing w:val="0"/>
          <w:w w:val="100"/>
          <w:sz w:val="32"/>
          <w:szCs w:val="32"/>
        </w:rPr>
      </w:pPr>
      <w:r>
        <w:rPr>
          <w:rFonts w:hint="eastAsia" w:ascii="楷体_GB2312" w:hAnsi="楷体_GB2312" w:eastAsia="楷体_GB2312" w:cs="楷体_GB2312"/>
          <w:b/>
          <w:bCs/>
          <w:color w:val="000000"/>
          <w:kern w:val="0"/>
          <w:sz w:val="32"/>
          <w:szCs w:val="32"/>
          <w:lang w:val="en-US" w:eastAsia="zh-CN" w:bidi="ar"/>
        </w:rPr>
        <w:t>1.</w:t>
      </w:r>
      <w:r>
        <w:rPr>
          <w:rFonts w:hint="eastAsia" w:ascii="楷体_GB2312" w:hAnsi="楷体_GB2312" w:eastAsia="楷体_GB2312" w:cs="楷体_GB2312"/>
          <w:b/>
          <w:bCs/>
          <w:color w:val="000000"/>
          <w:kern w:val="0"/>
          <w:sz w:val="32"/>
          <w:szCs w:val="32"/>
          <w:lang w:bidi="ar"/>
        </w:rPr>
        <w:t>部门监控范围。</w:t>
      </w:r>
      <w:r>
        <w:rPr>
          <w:rFonts w:hint="eastAsia" w:ascii="仿宋_GB2312" w:hAnsi="仿宋_GB2312" w:eastAsia="仿宋_GB2312" w:cs="仿宋_GB2312"/>
          <w:spacing w:val="0"/>
          <w:w w:val="100"/>
          <w:sz w:val="32"/>
          <w:szCs w:val="32"/>
        </w:rPr>
        <w:t>对2022年度本部门整体支出、项目支出、管理的转移支付</w:t>
      </w:r>
      <w:r>
        <w:rPr>
          <w:rFonts w:hint="eastAsia" w:ascii="仿宋_GB2312" w:hAnsi="仿宋_GB2312" w:eastAsia="仿宋_GB2312" w:cs="仿宋_GB2312"/>
          <w:spacing w:val="0"/>
          <w:w w:val="100"/>
          <w:sz w:val="32"/>
          <w:szCs w:val="32"/>
          <w:lang w:eastAsia="zh-CN"/>
        </w:rPr>
        <w:t>等所有财政资金</w:t>
      </w:r>
      <w:r>
        <w:rPr>
          <w:rFonts w:hint="eastAsia" w:ascii="仿宋_GB2312" w:hAnsi="仿宋_GB2312" w:eastAsia="仿宋_GB2312" w:cs="仿宋_GB2312"/>
          <w:spacing w:val="0"/>
          <w:w w:val="100"/>
          <w:sz w:val="32"/>
          <w:szCs w:val="32"/>
        </w:rPr>
        <w:t>开展“双监控”，</w:t>
      </w:r>
      <w:r>
        <w:rPr>
          <w:rFonts w:hint="eastAsia" w:ascii="仿宋_GB2312" w:hAnsi="仿宋_GB2312" w:eastAsia="仿宋_GB2312" w:cs="仿宋_GB2312"/>
          <w:spacing w:val="0"/>
          <w:w w:val="100"/>
          <w:sz w:val="32"/>
          <w:szCs w:val="32"/>
          <w:lang w:eastAsia="zh-CN"/>
        </w:rPr>
        <w:t>覆盖率</w:t>
      </w:r>
      <w:r>
        <w:rPr>
          <w:rFonts w:hint="eastAsia" w:ascii="仿宋_GB2312" w:hAnsi="仿宋_GB2312" w:eastAsia="仿宋_GB2312" w:cs="仿宋_GB2312"/>
          <w:spacing w:val="0"/>
          <w:w w:val="100"/>
          <w:sz w:val="32"/>
          <w:szCs w:val="32"/>
          <w:lang w:val="en-US" w:eastAsia="zh-CN"/>
        </w:rPr>
        <w:t>100%</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540" w:lineRule="exact"/>
        <w:ind w:left="0" w:firstLine="643" w:firstLineChars="200"/>
        <w:textAlignment w:val="auto"/>
        <w:rPr>
          <w:rFonts w:hint="eastAsia" w:ascii="仿宋_GB2312" w:hAnsi="仿宋_GB2312" w:eastAsia="仿宋_GB2312" w:cs="仿宋_GB2312"/>
          <w:spacing w:val="0"/>
          <w:w w:val="100"/>
          <w:sz w:val="32"/>
          <w:szCs w:val="32"/>
        </w:rPr>
      </w:pPr>
      <w:r>
        <w:rPr>
          <w:rFonts w:hint="eastAsia" w:ascii="楷体_GB2312" w:hAnsi="楷体_GB2312" w:eastAsia="楷体_GB2312" w:cs="楷体_GB2312"/>
          <w:b/>
          <w:bCs/>
          <w:color w:val="000000"/>
          <w:kern w:val="0"/>
          <w:sz w:val="32"/>
          <w:szCs w:val="32"/>
          <w:lang w:val="en-US" w:eastAsia="zh-CN" w:bidi="ar"/>
        </w:rPr>
        <w:t>2.监控方式和流程。</w:t>
      </w:r>
      <w:r>
        <w:rPr>
          <w:rFonts w:hint="eastAsia" w:ascii="仿宋_GB2312" w:hAnsi="仿宋_GB2312" w:eastAsia="仿宋_GB2312" w:cs="仿宋_GB2312"/>
          <w:spacing w:val="0"/>
          <w:w w:val="100"/>
          <w:sz w:val="32"/>
          <w:szCs w:val="32"/>
        </w:rPr>
        <w:t>各部门要组织本部门和所属单位分别于7月10日、10月10日、11月10日、12月10日前，通过“预算管理一体化系统绩效管理模块”全面、完整、准确填报上半年、三季度、四季度(2次)绩效监控信息。部门整体支出绩效监控信息由主管部门填报后，提交财政</w:t>
      </w:r>
      <w:r>
        <w:rPr>
          <w:rFonts w:hint="eastAsia" w:ascii="仿宋_GB2312" w:hAnsi="仿宋_GB2312" w:eastAsia="仿宋_GB2312" w:cs="仿宋_GB2312"/>
          <w:spacing w:val="0"/>
          <w:w w:val="100"/>
          <w:sz w:val="32"/>
          <w:szCs w:val="32"/>
          <w:lang w:eastAsia="zh-CN"/>
        </w:rPr>
        <w:t>对口业务股室</w:t>
      </w:r>
      <w:r>
        <w:rPr>
          <w:rFonts w:hint="eastAsia" w:ascii="仿宋_GB2312" w:hAnsi="仿宋_GB2312" w:eastAsia="仿宋_GB2312" w:cs="仿宋_GB2312"/>
          <w:spacing w:val="0"/>
          <w:w w:val="100"/>
          <w:sz w:val="32"/>
          <w:szCs w:val="32"/>
        </w:rPr>
        <w:t>审核</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项目支出、部门管理的转移支付绩效监控信息由项目实施单位填报并报主管部门审核后，提交财政</w:t>
      </w:r>
      <w:r>
        <w:rPr>
          <w:rFonts w:hint="eastAsia" w:ascii="仿宋_GB2312" w:hAnsi="仿宋_GB2312" w:eastAsia="仿宋_GB2312" w:cs="仿宋_GB2312"/>
          <w:spacing w:val="0"/>
          <w:w w:val="100"/>
          <w:sz w:val="32"/>
          <w:szCs w:val="32"/>
          <w:lang w:eastAsia="zh-CN"/>
        </w:rPr>
        <w:t>对口业务股室</w:t>
      </w:r>
      <w:r>
        <w:rPr>
          <w:rFonts w:hint="eastAsia" w:ascii="仿宋_GB2312" w:hAnsi="仿宋_GB2312" w:eastAsia="仿宋_GB2312" w:cs="仿宋_GB2312"/>
          <w:spacing w:val="0"/>
          <w:w w:val="100"/>
          <w:sz w:val="32"/>
          <w:szCs w:val="32"/>
        </w:rPr>
        <w:t>审核。各部门分别于7月</w:t>
      </w:r>
      <w:r>
        <w:rPr>
          <w:rFonts w:hint="eastAsia" w:ascii="仿宋_GB2312" w:hAnsi="仿宋_GB2312" w:eastAsia="仿宋_GB2312" w:cs="仿宋_GB2312"/>
          <w:spacing w:val="0"/>
          <w:w w:val="100"/>
          <w:sz w:val="32"/>
          <w:szCs w:val="32"/>
          <w:lang w:val="en-US" w:eastAsia="zh-CN"/>
        </w:rPr>
        <w:t>20</w:t>
      </w:r>
      <w:r>
        <w:rPr>
          <w:rFonts w:hint="eastAsia" w:ascii="仿宋_GB2312" w:hAnsi="仿宋_GB2312" w:eastAsia="仿宋_GB2312" w:cs="仿宋_GB2312"/>
          <w:spacing w:val="0"/>
          <w:w w:val="100"/>
          <w:sz w:val="32"/>
          <w:szCs w:val="32"/>
        </w:rPr>
        <w:t>日、12月20日前将本部门半年、全年绩效监控报告加盖公章扫描为PDF文档后，上传至“预算管理一体化系统绩效管理模块”。</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仿宋" w:hAnsi="仿宋" w:eastAsia="仿宋" w:cs="仿宋"/>
          <w:spacing w:val="0"/>
          <w:w w:val="100"/>
          <w:sz w:val="32"/>
          <w:szCs w:val="32"/>
        </w:rPr>
      </w:pPr>
      <w:r>
        <w:rPr>
          <w:rFonts w:hint="eastAsia" w:ascii="仿宋_GB2312" w:hAnsi="仿宋_GB2312" w:eastAsia="仿宋_GB2312" w:cs="仿宋_GB2312"/>
          <w:spacing w:val="0"/>
          <w:w w:val="100"/>
          <w:sz w:val="32"/>
          <w:szCs w:val="32"/>
        </w:rPr>
        <w:t>上半年开展一次绩效监控，以提示警示为主；三季度开展一次绩效监控，以纠偏纠错和调整处置为主；四季度每月开展一次绩效监控，以督促完成支出预算、实现既定绩效目标为主。半年、全年监控及处置情况要形成本部门绩效监控报告（参考</w:t>
      </w:r>
      <w:r>
        <w:rPr>
          <w:rFonts w:hint="eastAsia" w:ascii="仿宋" w:hAnsi="仿宋" w:eastAsia="仿宋" w:cs="仿宋"/>
          <w:spacing w:val="0"/>
          <w:w w:val="100"/>
          <w:sz w:val="32"/>
          <w:szCs w:val="32"/>
        </w:rPr>
        <w:t>格式见附件），向本部门党委（党组）报告。</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left="0" w:right="0" w:rightChars="0" w:firstLine="643" w:firstLineChars="200"/>
        <w:jc w:val="both"/>
        <w:textAlignment w:val="auto"/>
        <w:rPr>
          <w:rFonts w:hint="eastAsia" w:ascii="仿宋_GB2312" w:hAnsi="仿宋_GB2312" w:eastAsia="仿宋_GB2312" w:cs="仿宋_GB2312"/>
          <w:spacing w:val="0"/>
          <w:w w:val="100"/>
          <w:sz w:val="32"/>
          <w:szCs w:val="32"/>
        </w:rPr>
      </w:pPr>
      <w:r>
        <w:rPr>
          <w:rFonts w:hint="eastAsia" w:ascii="楷体_GB2312" w:hAnsi="楷体_GB2312" w:eastAsia="楷体_GB2312" w:cs="楷体_GB2312"/>
          <w:b/>
          <w:bCs/>
          <w:color w:val="000000"/>
          <w:kern w:val="0"/>
          <w:sz w:val="32"/>
          <w:szCs w:val="32"/>
          <w:lang w:val="en-US" w:eastAsia="zh-CN" w:bidi="ar"/>
        </w:rPr>
        <w:t>3.重点绩效监控。</w:t>
      </w:r>
      <w:r>
        <w:rPr>
          <w:rFonts w:hint="eastAsia" w:ascii="仿宋_GB2312" w:hAnsi="仿宋_GB2312" w:eastAsia="仿宋_GB2312" w:cs="仿宋_GB2312"/>
          <w:spacing w:val="0"/>
          <w:w w:val="100"/>
          <w:sz w:val="32"/>
          <w:szCs w:val="32"/>
        </w:rPr>
        <w:t>2022年，</w:t>
      </w:r>
      <w:r>
        <w:rPr>
          <w:rFonts w:hint="eastAsia" w:ascii="仿宋_GB2312" w:hAnsi="仿宋_GB2312" w:eastAsia="仿宋_GB2312" w:cs="仿宋_GB2312"/>
          <w:spacing w:val="0"/>
          <w:w w:val="100"/>
          <w:sz w:val="32"/>
          <w:szCs w:val="32"/>
          <w:lang w:eastAsia="zh-CN"/>
        </w:rPr>
        <w:t>县</w:t>
      </w:r>
      <w:r>
        <w:rPr>
          <w:rFonts w:hint="eastAsia" w:ascii="仿宋_GB2312" w:hAnsi="仿宋_GB2312" w:eastAsia="仿宋_GB2312" w:cs="仿宋_GB2312"/>
          <w:spacing w:val="0"/>
          <w:w w:val="100"/>
          <w:sz w:val="32"/>
          <w:szCs w:val="32"/>
        </w:rPr>
        <w:t>财政局选择</w:t>
      </w:r>
      <w:r>
        <w:rPr>
          <w:rFonts w:hint="eastAsia" w:ascii="仿宋_GB2312" w:hAnsi="仿宋_GB2312" w:eastAsia="仿宋_GB2312" w:cs="仿宋_GB2312"/>
          <w:spacing w:val="0"/>
          <w:w w:val="100"/>
          <w:sz w:val="32"/>
          <w:szCs w:val="32"/>
          <w:lang w:eastAsia="zh-CN"/>
        </w:rPr>
        <w:t>会昌县人力资源和社会保障局、会昌县委编办、会昌县妇联、会昌县团县委、中共会昌党校、会昌县市场监督局、会昌县社会保险服务中心、会昌县工信局、高排乡政府、小密乡政府</w:t>
      </w:r>
      <w:r>
        <w:rPr>
          <w:rFonts w:hint="eastAsia" w:ascii="仿宋_GB2312" w:hAnsi="仿宋_GB2312" w:eastAsia="仿宋_GB2312" w:cs="仿宋_GB2312"/>
          <w:spacing w:val="0"/>
          <w:w w:val="100"/>
          <w:sz w:val="32"/>
          <w:szCs w:val="32"/>
        </w:rPr>
        <w:t>等10个部门(单位)开展重点绩效监控。</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lang w:eastAsia="zh-CN"/>
        </w:rPr>
        <w:t>三</w:t>
      </w:r>
      <w:r>
        <w:rPr>
          <w:rFonts w:hint="eastAsia" w:ascii="黑体" w:hAnsi="黑体" w:eastAsia="黑体" w:cs="黑体"/>
          <w:spacing w:val="0"/>
          <w:w w:val="100"/>
          <w:sz w:val="32"/>
          <w:szCs w:val="32"/>
        </w:rPr>
        <w:t>、重点突出结果导向</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（一）各部门要通过绩效监控，深入分析预算执行和绩效目标完成情况，对绩效监控中发现的执行偏差和管理漏洞，应及时采取分类处置措施予以纠正：</w:t>
      </w:r>
    </w:p>
    <w:p>
      <w:pPr>
        <w:pStyle w:val="10"/>
        <w:keepNext w:val="0"/>
        <w:keepLines w:val="0"/>
        <w:pageBreakBefore w:val="0"/>
        <w:widowControl w:val="0"/>
        <w:numPr>
          <w:ilvl w:val="0"/>
          <w:numId w:val="0"/>
        </w:numPr>
        <w:tabs>
          <w:tab w:val="left" w:pos="1341"/>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对于因政策变化、突发事件等客观因素导致预算执行进度缓慢或预计无法实现绩效目标的，要本着实事求是的原则，及时按程序调减预算，并同步调整绩效目标；</w:t>
      </w:r>
    </w:p>
    <w:p>
      <w:pPr>
        <w:pStyle w:val="10"/>
        <w:keepNext w:val="0"/>
        <w:keepLines w:val="0"/>
        <w:pageBreakBefore w:val="0"/>
        <w:widowControl w:val="0"/>
        <w:numPr>
          <w:ilvl w:val="0"/>
          <w:numId w:val="0"/>
        </w:numPr>
        <w:tabs>
          <w:tab w:val="left" w:pos="1334"/>
        </w:tabs>
        <w:kinsoku/>
        <w:wordWrap/>
        <w:overflowPunct/>
        <w:topLinePunct w:val="0"/>
        <w:autoSpaceDE w:val="0"/>
        <w:autoSpaceDN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对于发现严重问题的，如预算执行与绩效目标偏离较大、已经或预计造成重大损失浪费或风险等情况，应暂停项目实施</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相应按照有关程序调减预算并停止拨付资金，及时纠偏止损。已开始执行的政府采购项目应当按照相关程序办理；</w:t>
      </w:r>
    </w:p>
    <w:p>
      <w:pPr>
        <w:pStyle w:val="10"/>
        <w:keepNext w:val="0"/>
        <w:keepLines w:val="0"/>
        <w:pageBreakBefore w:val="0"/>
        <w:widowControl w:val="0"/>
        <w:numPr>
          <w:ilvl w:val="0"/>
          <w:numId w:val="0"/>
        </w:numPr>
        <w:tabs>
          <w:tab w:val="left" w:pos="0"/>
          <w:tab w:val="left" w:pos="1334"/>
        </w:tabs>
        <w:kinsoku/>
        <w:wordWrap/>
        <w:overflowPunct/>
        <w:topLinePunct w:val="0"/>
        <w:autoSpaceDE w:val="0"/>
        <w:autoSpaceDN w:val="0"/>
        <w:bidi w:val="0"/>
        <w:adjustRightInd/>
        <w:snapToGrid/>
        <w:spacing w:before="0" w:after="0" w:line="540" w:lineRule="exact"/>
        <w:ind w:left="0" w:leftChars="0" w:right="0" w:rightChars="0" w:firstLine="640" w:firstLineChars="200"/>
        <w:jc w:val="left"/>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rPr>
        <w:t>对发现的财政违法行为，依照《中华人民共和国预算法》《财政违法行为处罚处分条例》等有关规定追究责任。</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（二）绩效监控结果作为各部门年度预算调整、下年度预算安排和政策制定的参考；</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（三）绩效监控工作情况作为各部门预算绩效管理工作考核内容。</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lang w:eastAsia="zh-CN"/>
        </w:rPr>
        <w:t>四．有关工作要求</w:t>
      </w:r>
    </w:p>
    <w:p>
      <w:pPr>
        <w:keepNext w:val="0"/>
        <w:keepLines w:val="0"/>
        <w:pageBreakBefore w:val="0"/>
        <w:widowControl w:val="0"/>
        <w:kinsoku/>
        <w:wordWrap/>
        <w:overflowPunct/>
        <w:topLinePunct w:val="0"/>
        <w:autoSpaceDE w:val="0"/>
        <w:autoSpaceDN w:val="0"/>
        <w:bidi w:val="0"/>
        <w:adjustRightInd/>
        <w:snapToGrid/>
        <w:spacing w:before="0" w:line="540" w:lineRule="exact"/>
        <w:ind w:left="0" w:firstLine="642"/>
        <w:textAlignment w:val="auto"/>
        <w:rPr>
          <w:rFonts w:hint="eastAsia" w:ascii="仿宋" w:hAnsi="仿宋" w:eastAsia="仿宋" w:cs="仿宋"/>
          <w:spacing w:val="0"/>
          <w:w w:val="100"/>
          <w:sz w:val="32"/>
          <w:szCs w:val="32"/>
        </w:rPr>
      </w:pPr>
      <w:r>
        <w:rPr>
          <w:rFonts w:hint="eastAsia" w:ascii="楷体_GB2312" w:hAnsi="楷体_GB2312" w:eastAsia="楷体_GB2312" w:cs="楷体_GB2312"/>
          <w:b/>
          <w:bCs/>
          <w:color w:val="000000"/>
          <w:kern w:val="0"/>
          <w:sz w:val="32"/>
          <w:szCs w:val="32"/>
          <w:lang w:val="en-US" w:eastAsia="zh-CN" w:bidi="ar"/>
        </w:rPr>
        <w:t>（一）压实工作责任。</w:t>
      </w:r>
      <w:r>
        <w:rPr>
          <w:rFonts w:hint="eastAsia" w:ascii="仿宋_GB2312" w:hAnsi="仿宋_GB2312" w:eastAsia="仿宋_GB2312" w:cs="仿宋_GB2312"/>
          <w:spacing w:val="0"/>
          <w:w w:val="100"/>
          <w:sz w:val="32"/>
          <w:szCs w:val="32"/>
        </w:rPr>
        <w:t>绩效监控工作是全面实施预算绩效管理重要环节，各部门要切实提高政治站位，充分发挥党组织领导作用，强化思想认识，不断加强相关工作组织管理，进一步压实资金使用主体责任；同时，要准确把握各阶段时间节点，确保各阶段绩效监控工作按期完成。</w:t>
      </w:r>
    </w:p>
    <w:p>
      <w:pPr>
        <w:keepNext w:val="0"/>
        <w:keepLines w:val="0"/>
        <w:pageBreakBefore w:val="0"/>
        <w:widowControl w:val="0"/>
        <w:kinsoku/>
        <w:wordWrap/>
        <w:overflowPunct/>
        <w:topLinePunct w:val="0"/>
        <w:autoSpaceDE w:val="0"/>
        <w:autoSpaceDN w:val="0"/>
        <w:bidi w:val="0"/>
        <w:adjustRightInd/>
        <w:snapToGrid/>
        <w:spacing w:before="0" w:line="540" w:lineRule="exact"/>
        <w:ind w:left="0" w:firstLine="643"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kern w:val="0"/>
          <w:sz w:val="32"/>
          <w:szCs w:val="32"/>
          <w:lang w:val="en-US" w:eastAsia="zh-CN" w:bidi="ar"/>
        </w:rPr>
        <w:t>（二)建立长效机制。</w:t>
      </w:r>
      <w:r>
        <w:rPr>
          <w:rFonts w:hint="eastAsia" w:ascii="仿宋_GB2312" w:hAnsi="仿宋_GB2312" w:eastAsia="仿宋_GB2312" w:cs="仿宋_GB2312"/>
          <w:color w:val="000000"/>
          <w:kern w:val="0"/>
          <w:sz w:val="32"/>
          <w:szCs w:val="32"/>
          <w:lang w:bidi="ar"/>
        </w:rPr>
        <w:t>全面实施预算绩效管理是一项长期的系统性工程，需要持续推动，常抓不懈。各部门要按照预算绩效管理考核要求，做好预算绩效管理有关工作。要围绕预算管理需要，以问题为导向，建立健全部门和所属单位的预算绩效管理工作长效机制。</w:t>
      </w:r>
    </w:p>
    <w:p>
      <w:pPr>
        <w:keepNext w:val="0"/>
        <w:keepLines w:val="0"/>
        <w:pageBreakBefore w:val="0"/>
        <w:widowControl w:val="0"/>
        <w:kinsoku/>
        <w:wordWrap/>
        <w:overflowPunct/>
        <w:topLinePunct w:val="0"/>
        <w:autoSpaceDE w:val="0"/>
        <w:autoSpaceDN w:val="0"/>
        <w:bidi w:val="0"/>
        <w:adjustRightInd/>
        <w:snapToGrid/>
        <w:spacing w:before="0" w:line="540" w:lineRule="exact"/>
        <w:ind w:left="0" w:firstLine="642"/>
        <w:textAlignment w:val="auto"/>
        <w:rPr>
          <w:rFonts w:hint="eastAsia" w:ascii="仿宋_GB2312" w:hAnsi="仿宋_GB2312" w:eastAsia="仿宋_GB2312" w:cs="仿宋_GB2312"/>
          <w:spacing w:val="0"/>
          <w:w w:val="100"/>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0" w:right="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附件：××部门绩效运行监控报告（参考格式）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仿宋_GB2312" w:hAnsi="仿宋_GB2312" w:eastAsia="仿宋_GB2312" w:cs="仿宋_GB2312"/>
          <w:spacing w:val="0"/>
          <w:w w:val="10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仿宋_GB2312" w:hAnsi="仿宋_GB2312" w:eastAsia="仿宋_GB2312" w:cs="仿宋_GB2312"/>
          <w:spacing w:val="0"/>
          <w:w w:val="10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jc w:val="both"/>
        <w:textAlignment w:val="auto"/>
        <w:rPr>
          <w:rFonts w:hint="eastAsia" w:ascii="仿宋_GB2312" w:hAnsi="仿宋_GB2312" w:eastAsia="仿宋_GB2312" w:cs="仿宋_GB2312"/>
          <w:spacing w:val="0"/>
          <w:w w:val="100"/>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5440" w:firstLineChars="17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会昌县财政局</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5440" w:firstLineChars="17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2022年6月30日</w:t>
      </w:r>
    </w:p>
    <w:p>
      <w:pPr>
        <w:pStyle w:val="3"/>
        <w:spacing w:before="11"/>
        <w:rPr>
          <w:rFonts w:ascii="宋体"/>
          <w:sz w:val="25"/>
        </w:rPr>
      </w:pPr>
    </w:p>
    <w:p>
      <w:pPr>
        <w:pStyle w:val="3"/>
        <w:rPr>
          <w:sz w:val="20"/>
        </w:rPr>
      </w:pPr>
    </w:p>
    <w:p>
      <w:pPr>
        <w:pStyle w:val="3"/>
        <w:rPr>
          <w:sz w:val="20"/>
        </w:rPr>
      </w:pPr>
    </w:p>
    <w:p>
      <w:pPr>
        <w:pStyle w:val="3"/>
        <w:rPr>
          <w:sz w:val="20"/>
        </w:rPr>
      </w:pPr>
    </w:p>
    <w:p>
      <w:pPr>
        <w:pStyle w:val="3"/>
        <w:rPr>
          <w:sz w:val="20"/>
        </w:rPr>
      </w:pPr>
    </w:p>
    <w:p>
      <w:pPr>
        <w:pStyle w:val="3"/>
        <w:spacing w:before="6"/>
        <w:rPr>
          <w:rFonts w:ascii="宋体"/>
          <w:sz w:val="10"/>
        </w:rPr>
      </w:pPr>
      <w:r>
        <w:rPr>
          <w:rFonts w:ascii="宋体"/>
          <w:sz w:val="2"/>
        </w:rPr>
        <mc:AlternateContent>
          <mc:Choice Requires="wpg">
            <w:drawing>
              <wp:inline distT="0" distB="0" distL="114300" distR="114300">
                <wp:extent cx="5492750" cy="76200"/>
                <wp:effectExtent l="0" t="0" r="0" b="0"/>
                <wp:docPr id="3" name="组合 13"/>
                <wp:cNvGraphicFramePr/>
                <a:graphic xmlns:a="http://schemas.openxmlformats.org/drawingml/2006/main">
                  <a:graphicData uri="http://schemas.microsoft.com/office/word/2010/wordprocessingGroup">
                    <wpg:wgp>
                      <wpg:cNvGrpSpPr/>
                      <wpg:grpSpPr>
                        <a:xfrm flipV="1">
                          <a:off x="0" y="0"/>
                          <a:ext cx="5492750" cy="76200"/>
                          <a:chOff x="0" y="0"/>
                          <a:chExt cx="8844" cy="20"/>
                        </a:xfrm>
                      </wpg:grpSpPr>
                      <wps:wsp>
                        <wps:cNvPr id="5" name="直线 14"/>
                        <wps:cNvCnPr/>
                        <wps:spPr>
                          <a:xfrm>
                            <a:off x="0" y="10"/>
                            <a:ext cx="8844"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组合 13" o:spid="_x0000_s1026" o:spt="203" style="flip:y;height:6pt;width:432.5pt;" coordsize="8844,20" o:gfxdata="UEsDBAoAAAAAAIdO4kAAAAAAAAAAAAAAAAAEAAAAZHJzL1BLAwQUAAAACACHTuJAZlcBdtIAAAAE&#10;AQAADwAAAGRycy9kb3ducmV2LnhtbE2PT0vEMBDF74LfIYzgzU12qctSmy4iKCJe7KrscbYZ22Az&#10;KU32j9/e0YteBh7v8eb3qvUpDOpAU/KRLcxnBhRxG53nzsLr5v5qBSplZIdDZLLwRQnW9flZhaWL&#10;R36hQ5M7JSWcSrTQ5zyWWqe2p4BpFkdi8T7iFDCLnDrtJjxKeRj0wpilDuhZPvQ40l1P7WezDxbe&#10;bn1Bxfv26dm0RI9Obx8aX1h7eTE3N6AynfJfGH7wBR1qYdrFPbukBgsyJP9e8VbLa5E7CS0M6LrS&#10;/+Hrb1BLAwQUAAAACACHTuJA1ibIv1kCAAANBQAADgAAAGRycy9lMm9Eb2MueG1spZS9btswEMf3&#10;An0Hgnsty7FjV7CcIU68FG2AtN1pipII8Askbdl7h47d+xqdmqFPU+Q1eqRkuXYWo/Ug8+PueP/f&#10;8Ti/2UmBtsw6rlWO08EQI6aoLriqcvzp4/2bGUbOE1UQoRXL8Z45fLN4/WremIyNdK1FwSyCIMpl&#10;jclx7b3JksTRmkniBtowBZultpJ4mNoqKSxpILoUyWg4vE4abQtjNWXOweqy3cRdRHtJQF2WnLKl&#10;phvJlG+jWiaIB0mu5sbhRcy2LBn1H8rSMY9EjkGpj184BMbr8E0Wc5JVlpia0y4FckkKZ5ok4QoO&#10;7UMtiSdoY/mLUJJTq50u/YBqmbRCIhFQkQ7P2Kys3piopcqayvTQoVBn1P85LH2/fbCIFzm+wkgR&#10;CQV/fvry+9tXlF4FOI2pMrBZWfNoHmy3ULWzoHdXWolKwc1nuEuRAGhCuwh43wNmO48oLE7Gb0fT&#10;CbCnsDe9huvQFoDWUKUXXrS+6/xms/G4dRpFj6Q9eDFPQn59Oo2BK+mOnNz/cXqsiWERvwsMOk6T&#10;ntP3H88/f6F03HKKNreqg+QyB7wOhML/CZe0E34AcxR4qo9kxjq/YlqiMMix4CqkRDKyfec81ANQ&#10;HEzCslCogUqMpoAWUQL9WUJfwFAaqLFTVXR2WvDingsRXJyt1rfCoi0JPRJ/QREEPjELpyyJq1u7&#10;uNUWr2akuFMF8nsDt0fBo4FDDpIVGAkGb0wYQUCSecLFJZZwtFCxuAeMobJrXeyhBhtjeVUDijRm&#10;2dW8uwrQJTHzrqNDG/49j1bHV2z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ZXAXbSAAAABAEA&#10;AA8AAAAAAAAAAQAgAAAAIgAAAGRycy9kb3ducmV2LnhtbFBLAQIUABQAAAAIAIdO4kDWJsi/WQIA&#10;AA0FAAAOAAAAAAAAAAEAIAAAACEBAABkcnMvZTJvRG9jLnhtbFBLBQYAAAAABgAGAFkBAADsBQAA&#10;AAA=&#10;">
                <o:lock v:ext="edit" aspectratio="f"/>
                <v:line id="直线 14" o:spid="_x0000_s1026" o:spt="20" style="position:absolute;left:0;top:10;height:0;width:8844;"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w10:wrap type="none"/>
                <w10:anchorlock/>
              </v:group>
            </w:pict>
          </mc:Fallback>
        </mc:AlternateContent>
      </w:r>
    </w:p>
    <w:p>
      <w:pPr>
        <w:pStyle w:val="3"/>
        <w:spacing w:line="20" w:lineRule="exact"/>
        <w:ind w:left="89"/>
        <w:rPr>
          <w:rFonts w:ascii="宋体"/>
          <w:sz w:val="2"/>
        </w:rPr>
      </w:pPr>
    </w:p>
    <w:p>
      <w:pPr>
        <w:tabs>
          <w:tab w:val="left" w:pos="5910"/>
        </w:tabs>
        <w:spacing w:before="110"/>
        <w:ind w:left="390" w:right="0" w:firstLine="0"/>
        <w:jc w:val="left"/>
        <w:rPr>
          <w:rFonts w:ascii="宋体"/>
          <w:sz w:val="25"/>
        </w:rPr>
      </w:pPr>
      <w:r>
        <w:rPr>
          <w:spacing w:val="-5"/>
          <w:sz w:val="28"/>
        </w:rPr>
        <mc:AlternateContent>
          <mc:Choice Requires="wps">
            <w:drawing>
              <wp:anchor distT="0" distB="0" distL="114300" distR="114300" simplePos="0" relativeHeight="251660288" behindDoc="1" locked="0" layoutInCell="1" allowOverlap="1">
                <wp:simplePos x="0" y="0"/>
                <wp:positionH relativeFrom="page">
                  <wp:posOffset>1059815</wp:posOffset>
                </wp:positionH>
                <wp:positionV relativeFrom="paragraph">
                  <wp:posOffset>311150</wp:posOffset>
                </wp:positionV>
                <wp:extent cx="5491480" cy="76200"/>
                <wp:effectExtent l="0" t="0" r="0" b="0"/>
                <wp:wrapTopAndBottom/>
                <wp:docPr id="6" name="任意多边形 8"/>
                <wp:cNvGraphicFramePr/>
                <a:graphic xmlns:a="http://schemas.openxmlformats.org/drawingml/2006/main">
                  <a:graphicData uri="http://schemas.microsoft.com/office/word/2010/wordprocessingShape">
                    <wps:wsp>
                      <wps:cNvSpPr/>
                      <wps:spPr>
                        <a:xfrm flipV="1">
                          <a:off x="0" y="0"/>
                          <a:ext cx="5491480" cy="76200"/>
                        </a:xfrm>
                        <a:custGeom>
                          <a:avLst/>
                          <a:gdLst/>
                          <a:ahLst/>
                          <a:cxnLst/>
                          <a:pathLst>
                            <a:path w="8844">
                              <a:moveTo>
                                <a:pt x="0" y="0"/>
                              </a:moveTo>
                              <a:lnTo>
                                <a:pt x="8844"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flip:y;margin-left:83.45pt;margin-top:24.5pt;height:6pt;width:432.4pt;mso-position-horizontal-relative:page;mso-wrap-distance-bottom:0pt;mso-wrap-distance-top:0pt;z-index:-251656192;mso-width-relative:page;mso-height-relative:page;" filled="f" stroked="t" coordsize="8844,1" o:gfxdata="UEsDBAoAAAAAAIdO4kAAAAAAAAAAAAAAAAAEAAAAZHJzL1BLAwQUAAAACACHTuJA4U/049cAAAAK&#10;AQAADwAAAGRycy9kb3ducmV2LnhtbE2PQU7DMBBF90jcwRokNojaBpS2aZwugLJgU2g4gBtP44h4&#10;HNlOW26Pu4Ll1zz9eb9an93Ajhhi70mBnAlgSK03PXUKvprN/QJYTJqMHjyhgh+MsK6vrypdGn+i&#10;TzzuUsdyCcVSK7ApjSXnsbXodJz5ESnfDj44nXIMHTdBn3K5G/iDEAV3uqf8weoRny2237vJKQh+&#10;aj4OhtvttLHubv7evL3KF6Vub6RYAUt4Tn8wXPSzOtTZae8nMpENORfFMqMKnpZ50wUQj3IObK+g&#10;kAJ4XfH/E+pfUEsDBBQAAAAIAIdO4kBtOvMGNgIAAJEEAAAOAAAAZHJzL2Uyb0RvYy54bWytVD2P&#10;EzEQ7ZH4D5Z7skkUcmGVzRWEo0Fw0h30E9u7a8lfsp1s0tPTUyL+BDrBr+EQP4OxN8mFo0lBitWz&#10;Z/z85nkm88utVmQjfJDWVHQ0GFIiDLNcmqai72+vns0oCREMB2WNqOhOBHq5ePpk3rlSjG1rFRee&#10;IIkJZecq2sboyqIIrBUawsA6YTBYW68h4tI3BffQIbtWxXg4nBad9dx5y0QIuLvsg3TP6M8htHUt&#10;mVhattbCxJ7VCwURSwqtdIEustq6Fiy+q+sgIlEVxUpj/uIliFfpWyzmUDYeXCvZXgKcI+FRTRqk&#10;wUuPVEuIQNZe/kOlJfM22DoOmNVFX0h2BKsYDR95c9OCE7kWtDq4o+nh/9Gyt5trTySv6JQSAxof&#10;/Ofd3a+Pn+6/fv7949v99y9klkzqXCgx98Zd+/0qIEwVb2uvSa2k+4DdlD3Aqsg2W7w7Wiy2kTDc&#10;fD55MZrM0H2GsYspNkRiL3qaRMfWIb4WVicMmzch9i/EDwjaA2Jbc4AOYtpOZxIkXUVns8kkq9F2&#10;I25tDsVHsvDah6gyp1n5ODnox8Q+jCBdkBUfL8XNU9XGXkmlsmxlkpTR+ALLJAxwWmrsUoTaoePB&#10;NFlhsErydCaJDL5ZvVSebCB1bP7tHforzfkQlxDaPi+HUhqUrQD+ynASdw7f0uAI06RBC06JEjjx&#10;CeXMCFKdk5mLx4pTC/SPntDK8h12ztp52bQ4VqOsMkWwU7M/+6lKo3C6zkwP/yS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FP9OPXAAAACgEAAA8AAAAAAAAAAQAgAAAAIgAAAGRycy9kb3ducmV2&#10;LnhtbFBLAQIUABQAAAAIAIdO4kBtOvMGNgIAAJEEAAAOAAAAAAAAAAEAIAAAACYBAABkcnMvZTJv&#10;RG9jLnhtbFBLBQYAAAAABgAGAFkBAADOBQAAAAA=&#10;" path="m0,0l8844,0e">
                <v:fill on="f" focussize="0,0"/>
                <v:stroke weight="1pt" color="#000000" joinstyle="round"/>
                <v:imagedata o:title=""/>
                <o:lock v:ext="edit" aspectratio="f"/>
                <w10:wrap type="topAndBottom"/>
              </v:shape>
            </w:pict>
          </mc:Fallback>
        </mc:AlternateContent>
      </w:r>
      <w:r>
        <w:rPr>
          <w:rFonts w:hint="eastAsia"/>
          <w:spacing w:val="-5"/>
          <w:sz w:val="28"/>
          <w:lang w:eastAsia="zh-CN"/>
        </w:rPr>
        <w:t>会县昌</w:t>
      </w:r>
      <w:r>
        <w:rPr>
          <w:spacing w:val="-5"/>
          <w:sz w:val="28"/>
        </w:rPr>
        <w:t>财政局</w:t>
      </w:r>
      <w:r>
        <w:rPr>
          <w:rFonts w:hint="eastAsia"/>
          <w:spacing w:val="-5"/>
          <w:sz w:val="28"/>
          <w:lang w:eastAsia="zh-CN"/>
        </w:rPr>
        <w:t>秘书股</w:t>
      </w:r>
      <w:r>
        <w:rPr>
          <w:sz w:val="28"/>
        </w:rPr>
        <w:tab/>
      </w:r>
      <w:r>
        <w:rPr>
          <w:spacing w:val="-3"/>
          <w:sz w:val="28"/>
        </w:rPr>
        <w:t>2022</w:t>
      </w:r>
      <w:r>
        <w:rPr>
          <w:sz w:val="28"/>
        </w:rPr>
        <w:t>年6月</w:t>
      </w:r>
      <w:r>
        <w:rPr>
          <w:rFonts w:hint="eastAsia"/>
          <w:sz w:val="28"/>
          <w:lang w:val="en-US" w:eastAsia="zh-CN"/>
        </w:rPr>
        <w:t>30</w:t>
      </w:r>
      <w:r>
        <w:rPr>
          <w:spacing w:val="-5"/>
          <w:sz w:val="28"/>
        </w:rPr>
        <w:t>日印发</w:t>
      </w:r>
    </w:p>
    <w:p>
      <w:pPr>
        <w:pStyle w:val="3"/>
        <w:spacing w:before="55"/>
        <w:ind w:left="229"/>
        <w:rPr>
          <w:rFonts w:hint="eastAsia" w:ascii="黑体" w:eastAsia="黑体"/>
        </w:rPr>
      </w:pPr>
    </w:p>
    <w:p>
      <w:pPr>
        <w:pStyle w:val="3"/>
        <w:spacing w:before="55"/>
        <w:ind w:left="229"/>
        <w:rPr>
          <w:rFonts w:hint="eastAsia" w:ascii="黑体" w:eastAsia="黑体"/>
        </w:rPr>
      </w:pPr>
      <w:bookmarkStart w:id="0" w:name="_GoBack"/>
      <w:bookmarkEnd w:id="0"/>
      <w:r>
        <w:rPr>
          <w:rFonts w:hint="eastAsia" w:ascii="黑体" w:eastAsia="黑体"/>
        </w:rPr>
        <w:t>附件</w:t>
      </w:r>
    </w:p>
    <w:p>
      <w:pPr>
        <w:pStyle w:val="3"/>
        <w:rPr>
          <w:rFonts w:ascii="黑体"/>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××部门绩效运行监控情况（参考格式）</w:t>
      </w:r>
    </w:p>
    <w:p>
      <w:pPr>
        <w:pStyle w:val="3"/>
        <w:spacing w:before="132"/>
        <w:ind w:left="672" w:right="692"/>
        <w:jc w:val="center"/>
        <w:rPr>
          <w:rFonts w:hint="eastAsia" w:ascii="楷体" w:hAnsi="楷体" w:eastAsia="楷体"/>
        </w:rPr>
      </w:pPr>
      <w:r>
        <w:rPr>
          <w:rFonts w:hint="eastAsia" w:ascii="楷体" w:hAnsi="楷体" w:eastAsia="楷体"/>
        </w:rPr>
        <w:t>（××××年××月）</w:t>
      </w:r>
    </w:p>
    <w:p>
      <w:pPr>
        <w:pStyle w:val="3"/>
        <w:rPr>
          <w:rFonts w:ascii="楷体"/>
        </w:rPr>
      </w:pPr>
    </w:p>
    <w:p>
      <w:pPr>
        <w:pStyle w:val="3"/>
        <w:spacing w:before="3"/>
        <w:rPr>
          <w:rFonts w:ascii="楷体"/>
          <w:sz w:val="26"/>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textAlignment w:val="auto"/>
        <w:rPr>
          <w:spacing w:val="0"/>
          <w:w w:val="100"/>
          <w:sz w:val="32"/>
        </w:rPr>
      </w:pPr>
      <w:r>
        <w:rPr>
          <w:spacing w:val="0"/>
          <w:w w:val="100"/>
          <w:sz w:val="32"/>
        </w:rPr>
        <w:t>××××年××月，我部门（单位）组织对本部门（单位）</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jc w:val="both"/>
        <w:textAlignment w:val="auto"/>
        <w:rPr>
          <w:spacing w:val="0"/>
          <w:w w:val="100"/>
          <w:sz w:val="32"/>
        </w:rPr>
      </w:pPr>
      <w:r>
        <w:rPr>
          <w:spacing w:val="0"/>
          <w:w w:val="100"/>
          <w:sz w:val="32"/>
        </w:rPr>
        <w:t>××××年××～××月整体支出、项目支出、管理的转移支付开展预算执行情况和绩效目标实现程度开展</w:t>
      </w:r>
      <w:r>
        <w:rPr>
          <w:rFonts w:ascii="Times New Roman" w:hAnsi="Times New Roman" w:eastAsia="Times New Roman"/>
          <w:spacing w:val="0"/>
          <w:w w:val="100"/>
          <w:sz w:val="32"/>
        </w:rPr>
        <w:t>“</w:t>
      </w:r>
      <w:r>
        <w:rPr>
          <w:spacing w:val="0"/>
          <w:w w:val="100"/>
          <w:sz w:val="32"/>
        </w:rPr>
        <w:t>双监控</w:t>
      </w:r>
      <w:r>
        <w:rPr>
          <w:rFonts w:ascii="Times New Roman" w:hAnsi="Times New Roman" w:eastAsia="Times New Roman"/>
          <w:spacing w:val="0"/>
          <w:w w:val="100"/>
          <w:sz w:val="32"/>
        </w:rPr>
        <w:t>”</w:t>
      </w:r>
      <w:r>
        <w:rPr>
          <w:spacing w:val="0"/>
          <w:w w:val="100"/>
          <w:sz w:val="32"/>
        </w:rPr>
        <w:t>，其中监控项目××个、管理的转移支付××个。绩效监控结果如下：</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一、绩效监控结果概览</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rPr>
      </w:pPr>
      <w:r>
        <w:rPr>
          <w:rFonts w:hint="eastAsia" w:ascii="楷体" w:eastAsia="楷体"/>
        </w:rPr>
        <w:t>（一）部门整体支出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u w:val="single"/>
        </w:rPr>
        <w:t>（采用目标比较法，用定量分析和定性分析相结合的方式，将绩效实现情况与预期绩效目标进行比较，对目标完成、预算执行、组织实施、资金管理等情况进行分析评判。）</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rPr>
      </w:pPr>
      <w:r>
        <w:rPr>
          <w:rFonts w:hint="eastAsia" w:ascii="楷体" w:eastAsia="楷体"/>
        </w:rPr>
        <w:t>（二）项目支出</w:t>
      </w:r>
    </w:p>
    <w:p>
      <w:pPr>
        <w:pStyle w:val="10"/>
        <w:keepNext w:val="0"/>
        <w:keepLines w:val="0"/>
        <w:pageBreakBefore w:val="0"/>
        <w:widowControl w:val="0"/>
        <w:numPr>
          <w:ilvl w:val="0"/>
          <w:numId w:val="1"/>
        </w:numPr>
        <w:tabs>
          <w:tab w:val="left" w:pos="1336"/>
        </w:tabs>
        <w:kinsoku/>
        <w:wordWrap/>
        <w:overflowPunct/>
        <w:topLinePunct w:val="0"/>
        <w:autoSpaceDE w:val="0"/>
        <w:autoSpaceDN w:val="0"/>
        <w:bidi w:val="0"/>
        <w:adjustRightInd/>
        <w:snapToGrid/>
        <w:spacing w:before="0" w:after="0" w:line="560" w:lineRule="exact"/>
        <w:ind w:left="0" w:right="0" w:firstLine="640" w:firstLineChars="200"/>
        <w:jc w:val="both"/>
        <w:textAlignment w:val="auto"/>
        <w:rPr>
          <w:spacing w:val="0"/>
          <w:w w:val="100"/>
          <w:sz w:val="32"/>
        </w:rPr>
      </w:pPr>
      <w:r>
        <w:rPr>
          <w:spacing w:val="0"/>
          <w:w w:val="100"/>
          <w:sz w:val="32"/>
        </w:rPr>
        <w:t>××项目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u w:val="single"/>
        </w:rPr>
        <w:t>（采用目标比较法，用定量分析和定性分析相结合的方式，将绩效实现情况与预期绩效目标进行比较，对目标完成、预算执行、组织实施、资金管理等情况进行分析评判。）</w:t>
      </w:r>
    </w:p>
    <w:p>
      <w:pPr>
        <w:pStyle w:val="10"/>
        <w:keepNext w:val="0"/>
        <w:keepLines w:val="0"/>
        <w:pageBreakBefore w:val="0"/>
        <w:widowControl w:val="0"/>
        <w:numPr>
          <w:ilvl w:val="0"/>
          <w:numId w:val="1"/>
        </w:numPr>
        <w:tabs>
          <w:tab w:val="left" w:pos="1336"/>
        </w:tabs>
        <w:kinsoku/>
        <w:wordWrap/>
        <w:overflowPunct/>
        <w:topLinePunct w:val="0"/>
        <w:autoSpaceDE w:val="0"/>
        <w:autoSpaceDN w:val="0"/>
        <w:bidi w:val="0"/>
        <w:adjustRightInd/>
        <w:snapToGrid/>
        <w:spacing w:before="0" w:after="0" w:line="560" w:lineRule="exact"/>
        <w:ind w:left="0" w:right="0" w:firstLine="640" w:firstLineChars="200"/>
        <w:jc w:val="both"/>
        <w:textAlignment w:val="auto"/>
        <w:rPr>
          <w:spacing w:val="0"/>
          <w:w w:val="100"/>
          <w:sz w:val="32"/>
        </w:rPr>
      </w:pPr>
      <w:r>
        <w:rPr>
          <w:spacing w:val="0"/>
          <w:w w:val="100"/>
          <w:sz w:val="32"/>
        </w:rPr>
        <w:t>××项目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pPr>
      <w: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rPr>
      </w:pPr>
      <w:r>
        <w:rPr>
          <w:rFonts w:hint="eastAsia" w:ascii="楷体" w:eastAsia="楷体"/>
        </w:rPr>
        <w:t>（三）管理的转移支付</w:t>
      </w:r>
    </w:p>
    <w:p>
      <w:pPr>
        <w:pStyle w:val="10"/>
        <w:keepNext w:val="0"/>
        <w:keepLines w:val="0"/>
        <w:pageBreakBefore w:val="0"/>
        <w:widowControl w:val="0"/>
        <w:numPr>
          <w:ilvl w:val="0"/>
          <w:numId w:val="2"/>
        </w:numPr>
        <w:tabs>
          <w:tab w:val="left" w:pos="1221"/>
        </w:tabs>
        <w:kinsoku/>
        <w:wordWrap/>
        <w:overflowPunct/>
        <w:topLinePunct w:val="0"/>
        <w:autoSpaceDE w:val="0"/>
        <w:autoSpaceDN w:val="0"/>
        <w:bidi w:val="0"/>
        <w:adjustRightInd/>
        <w:snapToGrid/>
        <w:spacing w:before="0" w:after="0" w:line="560" w:lineRule="exact"/>
        <w:ind w:left="0" w:right="0" w:firstLine="640" w:firstLineChars="200"/>
        <w:jc w:val="both"/>
        <w:textAlignment w:val="auto"/>
        <w:rPr>
          <w:spacing w:val="0"/>
          <w:w w:val="100"/>
          <w:sz w:val="32"/>
        </w:rPr>
      </w:pPr>
      <w:r>
        <w:rPr>
          <w:spacing w:val="0"/>
          <w:w w:val="100"/>
          <w:sz w:val="32"/>
        </w:rPr>
        <w:t>××转移支付（项目）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u w:val="single"/>
        </w:rPr>
        <w:t>（采用目标比较法，用定量分析和定性分析相结合的方式，将绩效实现情况与预期绩效目标进行比较，对目标完成、预算执行、组织实施、资金管理等情况进行分析评判。）</w:t>
      </w:r>
    </w:p>
    <w:p>
      <w:pPr>
        <w:pStyle w:val="10"/>
        <w:keepNext w:val="0"/>
        <w:keepLines w:val="0"/>
        <w:pageBreakBefore w:val="0"/>
        <w:widowControl w:val="0"/>
        <w:numPr>
          <w:ilvl w:val="0"/>
          <w:numId w:val="2"/>
        </w:numPr>
        <w:tabs>
          <w:tab w:val="left" w:pos="1221"/>
        </w:tabs>
        <w:kinsoku/>
        <w:wordWrap/>
        <w:overflowPunct/>
        <w:topLinePunct w:val="0"/>
        <w:autoSpaceDE w:val="0"/>
        <w:autoSpaceDN w:val="0"/>
        <w:bidi w:val="0"/>
        <w:adjustRightInd/>
        <w:snapToGrid/>
        <w:spacing w:before="0" w:after="0" w:line="560" w:lineRule="exact"/>
        <w:ind w:left="0" w:right="0" w:firstLine="640" w:firstLineChars="200"/>
        <w:jc w:val="both"/>
        <w:textAlignment w:val="auto"/>
        <w:rPr>
          <w:spacing w:val="0"/>
          <w:w w:val="100"/>
          <w:sz w:val="32"/>
        </w:rPr>
      </w:pPr>
      <w:r>
        <w:rPr>
          <w:spacing w:val="0"/>
          <w:w w:val="100"/>
          <w:sz w:val="32"/>
        </w:rPr>
        <w:t>××转移支付（项目）</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spacing w:val="0"/>
          <w:w w:val="100"/>
          <w:sz w:val="32"/>
        </w:rPr>
      </w:pPr>
      <w:r>
        <w:rPr>
          <w:spacing w:val="0"/>
          <w:w w:val="100"/>
          <w:sz w:val="32"/>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二、偏离绩效目标情况分析</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spacing w:val="0"/>
          <w:w w:val="100"/>
          <w:sz w:val="32"/>
        </w:rPr>
      </w:pPr>
      <w:r>
        <w:rPr>
          <w:rFonts w:hint="eastAsia" w:ascii="楷体" w:eastAsia="楷体"/>
          <w:spacing w:val="0"/>
          <w:w w:val="100"/>
          <w:sz w:val="32"/>
        </w:rPr>
        <w:t>（一）部门整体支出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w w:val="100"/>
          <w:sz w:val="32"/>
        </w:rPr>
      </w:pPr>
      <w:r>
        <w:rPr>
          <w:spacing w:val="0"/>
          <w:w w:val="100"/>
          <w:sz w:val="32"/>
          <w:u w:val="single"/>
        </w:rPr>
        <w:t>（对偏离绩效目标的原因进行分析，对全年绩效目标完成情况进行预计，并对预计年底不能完成目标的原因及拟采取的措施做出说明。）</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spacing w:val="0"/>
          <w:w w:val="100"/>
          <w:sz w:val="32"/>
        </w:rPr>
      </w:pPr>
      <w:r>
        <w:rPr>
          <w:rFonts w:hint="eastAsia" w:ascii="楷体" w:eastAsia="楷体"/>
          <w:spacing w:val="0"/>
          <w:w w:val="100"/>
          <w:sz w:val="32"/>
        </w:rPr>
        <w:t>（二）项目支出</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ascii="Times New Roman" w:hAnsi="Times New Roman"/>
        </w:rPr>
      </w:pPr>
      <w:r>
        <w:rPr>
          <w:rFonts w:ascii="Times New Roman" w:hAnsi="Times New Roma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 w:eastAsia="楷体"/>
        </w:rPr>
      </w:pPr>
      <w:r>
        <w:rPr>
          <w:rFonts w:hint="eastAsia" w:ascii="楷体" w:eastAsia="楷体"/>
        </w:rPr>
        <w:t>（三）管理的转移支付</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ascii="Times New Roman" w:hAnsi="Times New Roman"/>
        </w:rPr>
      </w:pPr>
      <w:r>
        <w:rPr>
          <w:rFonts w:ascii="Times New Roman" w:hAnsi="Times New Roman"/>
        </w:rPr>
        <w:t>……</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80" w:firstLineChars="200"/>
        <w:textAlignment w:val="auto"/>
        <w:rPr>
          <w:rFonts w:ascii="Times New Roman"/>
          <w:sz w:val="34"/>
        </w:rPr>
      </w:pPr>
    </w:p>
    <w:p>
      <w:pPr>
        <w:pStyle w:val="3"/>
        <w:spacing w:before="10"/>
        <w:rPr>
          <w:rFonts w:ascii="Times New Roman"/>
          <w:sz w:val="48"/>
        </w:rPr>
      </w:pPr>
    </w:p>
    <w:p>
      <w:pPr>
        <w:pStyle w:val="3"/>
        <w:tabs>
          <w:tab w:val="left" w:pos="5747"/>
          <w:tab w:val="left" w:pos="6484"/>
          <w:tab w:val="left" w:pos="7221"/>
        </w:tabs>
        <w:ind w:left="5010"/>
      </w:pPr>
      <w:r>
        <w:t>（</w:t>
      </w:r>
      <w:r>
        <w:tab/>
      </w:r>
      <w:r>
        <w:t>部</w:t>
      </w:r>
      <w:r>
        <w:tab/>
      </w:r>
      <w:r>
        <w:t>门</w:t>
      </w:r>
      <w:r>
        <w:tab/>
      </w:r>
      <w:r>
        <w:t>）</w:t>
      </w:r>
    </w:p>
    <w:p>
      <w:pPr>
        <w:pStyle w:val="3"/>
        <w:spacing w:before="169"/>
        <w:ind w:left="4537"/>
      </w:pPr>
      <w:r>
        <w:t>××年××月××日</w:t>
      </w:r>
    </w:p>
    <w:p>
      <w:pPr>
        <w:pStyle w:val="3"/>
        <w:spacing w:before="169"/>
        <w:ind w:left="4537"/>
      </w:pPr>
    </w:p>
    <w:sectPr>
      <w:headerReference r:id="rId5" w:type="default"/>
      <w:footerReference r:id="rId6" w:type="default"/>
      <w:pgSz w:w="11910" w:h="16840"/>
      <w:pgMar w:top="2098" w:right="1587" w:bottom="2098" w:left="1587"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335" w:hanging="476"/>
        <w:jc w:val="left"/>
      </w:pPr>
      <w:rPr>
        <w:rFonts w:hint="default" w:ascii="仿宋" w:hAnsi="仿宋" w:eastAsia="仿宋" w:cs="仿宋"/>
        <w:spacing w:val="-2"/>
        <w:w w:val="99"/>
        <w:sz w:val="32"/>
        <w:szCs w:val="32"/>
        <w:lang w:val="en-US" w:eastAsia="zh-CN" w:bidi="ar-SA"/>
      </w:rPr>
    </w:lvl>
    <w:lvl w:ilvl="1" w:tentative="0">
      <w:start w:val="0"/>
      <w:numFmt w:val="bullet"/>
      <w:lvlText w:val="•"/>
      <w:lvlJc w:val="left"/>
      <w:pPr>
        <w:ind w:left="2138" w:hanging="476"/>
      </w:pPr>
      <w:rPr>
        <w:rFonts w:hint="default"/>
        <w:lang w:val="en-US" w:eastAsia="zh-CN" w:bidi="ar-SA"/>
      </w:rPr>
    </w:lvl>
    <w:lvl w:ilvl="2" w:tentative="0">
      <w:start w:val="0"/>
      <w:numFmt w:val="bullet"/>
      <w:lvlText w:val="•"/>
      <w:lvlJc w:val="left"/>
      <w:pPr>
        <w:ind w:left="2937" w:hanging="476"/>
      </w:pPr>
      <w:rPr>
        <w:rFonts w:hint="default"/>
        <w:lang w:val="en-US" w:eastAsia="zh-CN" w:bidi="ar-SA"/>
      </w:rPr>
    </w:lvl>
    <w:lvl w:ilvl="3" w:tentative="0">
      <w:start w:val="0"/>
      <w:numFmt w:val="bullet"/>
      <w:lvlText w:val="•"/>
      <w:lvlJc w:val="left"/>
      <w:pPr>
        <w:ind w:left="3735" w:hanging="476"/>
      </w:pPr>
      <w:rPr>
        <w:rFonts w:hint="default"/>
        <w:lang w:val="en-US" w:eastAsia="zh-CN" w:bidi="ar-SA"/>
      </w:rPr>
    </w:lvl>
    <w:lvl w:ilvl="4" w:tentative="0">
      <w:start w:val="0"/>
      <w:numFmt w:val="bullet"/>
      <w:lvlText w:val="•"/>
      <w:lvlJc w:val="left"/>
      <w:pPr>
        <w:ind w:left="4534" w:hanging="476"/>
      </w:pPr>
      <w:rPr>
        <w:rFonts w:hint="default"/>
        <w:lang w:val="en-US" w:eastAsia="zh-CN" w:bidi="ar-SA"/>
      </w:rPr>
    </w:lvl>
    <w:lvl w:ilvl="5" w:tentative="0">
      <w:start w:val="0"/>
      <w:numFmt w:val="bullet"/>
      <w:lvlText w:val="•"/>
      <w:lvlJc w:val="left"/>
      <w:pPr>
        <w:ind w:left="5333" w:hanging="476"/>
      </w:pPr>
      <w:rPr>
        <w:rFonts w:hint="default"/>
        <w:lang w:val="en-US" w:eastAsia="zh-CN" w:bidi="ar-SA"/>
      </w:rPr>
    </w:lvl>
    <w:lvl w:ilvl="6" w:tentative="0">
      <w:start w:val="0"/>
      <w:numFmt w:val="bullet"/>
      <w:lvlText w:val="•"/>
      <w:lvlJc w:val="left"/>
      <w:pPr>
        <w:ind w:left="6131" w:hanging="476"/>
      </w:pPr>
      <w:rPr>
        <w:rFonts w:hint="default"/>
        <w:lang w:val="en-US" w:eastAsia="zh-CN" w:bidi="ar-SA"/>
      </w:rPr>
    </w:lvl>
    <w:lvl w:ilvl="7" w:tentative="0">
      <w:start w:val="0"/>
      <w:numFmt w:val="bullet"/>
      <w:lvlText w:val="•"/>
      <w:lvlJc w:val="left"/>
      <w:pPr>
        <w:ind w:left="6930" w:hanging="476"/>
      </w:pPr>
      <w:rPr>
        <w:rFonts w:hint="default"/>
        <w:lang w:val="en-US" w:eastAsia="zh-CN" w:bidi="ar-SA"/>
      </w:rPr>
    </w:lvl>
    <w:lvl w:ilvl="8" w:tentative="0">
      <w:start w:val="0"/>
      <w:numFmt w:val="bullet"/>
      <w:lvlText w:val="•"/>
      <w:lvlJc w:val="left"/>
      <w:pPr>
        <w:ind w:left="7729" w:hanging="476"/>
      </w:pPr>
      <w:rPr>
        <w:rFonts w:hint="default"/>
        <w:lang w:val="en-US" w:eastAsia="zh-CN" w:bidi="ar-SA"/>
      </w:rPr>
    </w:lvl>
  </w:abstractNum>
  <w:abstractNum w:abstractNumId="1">
    <w:nsid w:val="59ADCABA"/>
    <w:multiLevelType w:val="multilevel"/>
    <w:tmpl w:val="59ADCABA"/>
    <w:lvl w:ilvl="0" w:tentative="0">
      <w:start w:val="1"/>
      <w:numFmt w:val="decimal"/>
      <w:lvlText w:val="%1."/>
      <w:lvlJc w:val="left"/>
      <w:pPr>
        <w:ind w:left="1220" w:hanging="476"/>
        <w:jc w:val="left"/>
      </w:pPr>
      <w:rPr>
        <w:rFonts w:hint="default" w:ascii="仿宋" w:hAnsi="仿宋" w:eastAsia="仿宋" w:cs="仿宋"/>
        <w:spacing w:val="-2"/>
        <w:w w:val="99"/>
        <w:sz w:val="32"/>
        <w:szCs w:val="32"/>
        <w:lang w:val="en-US" w:eastAsia="zh-CN" w:bidi="ar-SA"/>
      </w:rPr>
    </w:lvl>
    <w:lvl w:ilvl="1" w:tentative="0">
      <w:start w:val="0"/>
      <w:numFmt w:val="bullet"/>
      <w:lvlText w:val="•"/>
      <w:lvlJc w:val="left"/>
      <w:pPr>
        <w:ind w:left="2030" w:hanging="476"/>
      </w:pPr>
      <w:rPr>
        <w:rFonts w:hint="default"/>
        <w:lang w:val="en-US" w:eastAsia="zh-CN" w:bidi="ar-SA"/>
      </w:rPr>
    </w:lvl>
    <w:lvl w:ilvl="2" w:tentative="0">
      <w:start w:val="0"/>
      <w:numFmt w:val="bullet"/>
      <w:lvlText w:val="•"/>
      <w:lvlJc w:val="left"/>
      <w:pPr>
        <w:ind w:left="2841" w:hanging="476"/>
      </w:pPr>
      <w:rPr>
        <w:rFonts w:hint="default"/>
        <w:lang w:val="en-US" w:eastAsia="zh-CN" w:bidi="ar-SA"/>
      </w:rPr>
    </w:lvl>
    <w:lvl w:ilvl="3" w:tentative="0">
      <w:start w:val="0"/>
      <w:numFmt w:val="bullet"/>
      <w:lvlText w:val="•"/>
      <w:lvlJc w:val="left"/>
      <w:pPr>
        <w:ind w:left="3651" w:hanging="476"/>
      </w:pPr>
      <w:rPr>
        <w:rFonts w:hint="default"/>
        <w:lang w:val="en-US" w:eastAsia="zh-CN" w:bidi="ar-SA"/>
      </w:rPr>
    </w:lvl>
    <w:lvl w:ilvl="4" w:tentative="0">
      <w:start w:val="0"/>
      <w:numFmt w:val="bullet"/>
      <w:lvlText w:val="•"/>
      <w:lvlJc w:val="left"/>
      <w:pPr>
        <w:ind w:left="4462" w:hanging="476"/>
      </w:pPr>
      <w:rPr>
        <w:rFonts w:hint="default"/>
        <w:lang w:val="en-US" w:eastAsia="zh-CN" w:bidi="ar-SA"/>
      </w:rPr>
    </w:lvl>
    <w:lvl w:ilvl="5" w:tentative="0">
      <w:start w:val="0"/>
      <w:numFmt w:val="bullet"/>
      <w:lvlText w:val="•"/>
      <w:lvlJc w:val="left"/>
      <w:pPr>
        <w:ind w:left="5273" w:hanging="476"/>
      </w:pPr>
      <w:rPr>
        <w:rFonts w:hint="default"/>
        <w:lang w:val="en-US" w:eastAsia="zh-CN" w:bidi="ar-SA"/>
      </w:rPr>
    </w:lvl>
    <w:lvl w:ilvl="6" w:tentative="0">
      <w:start w:val="0"/>
      <w:numFmt w:val="bullet"/>
      <w:lvlText w:val="•"/>
      <w:lvlJc w:val="left"/>
      <w:pPr>
        <w:ind w:left="6083" w:hanging="476"/>
      </w:pPr>
      <w:rPr>
        <w:rFonts w:hint="default"/>
        <w:lang w:val="en-US" w:eastAsia="zh-CN" w:bidi="ar-SA"/>
      </w:rPr>
    </w:lvl>
    <w:lvl w:ilvl="7" w:tentative="0">
      <w:start w:val="0"/>
      <w:numFmt w:val="bullet"/>
      <w:lvlText w:val="•"/>
      <w:lvlJc w:val="left"/>
      <w:pPr>
        <w:ind w:left="6894" w:hanging="476"/>
      </w:pPr>
      <w:rPr>
        <w:rFonts w:hint="default"/>
        <w:lang w:val="en-US" w:eastAsia="zh-CN" w:bidi="ar-SA"/>
      </w:rPr>
    </w:lvl>
    <w:lvl w:ilvl="8" w:tentative="0">
      <w:start w:val="0"/>
      <w:numFmt w:val="bullet"/>
      <w:lvlText w:val="•"/>
      <w:lvlJc w:val="left"/>
      <w:pPr>
        <w:ind w:left="7705" w:hanging="476"/>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ZjVlMmUyY2IxNmY2NTM4YTY0NGQzOGU5NDYwMGEifQ=="/>
  </w:docVars>
  <w:rsids>
    <w:rsidRoot w:val="00000000"/>
    <w:rsid w:val="08535821"/>
    <w:rsid w:val="0B806C4F"/>
    <w:rsid w:val="13C2327E"/>
    <w:rsid w:val="1AA0343D"/>
    <w:rsid w:val="23046682"/>
    <w:rsid w:val="2C626060"/>
    <w:rsid w:val="2D277008"/>
    <w:rsid w:val="33982275"/>
    <w:rsid w:val="38395189"/>
    <w:rsid w:val="3FC001B6"/>
    <w:rsid w:val="417F4661"/>
    <w:rsid w:val="42222CB5"/>
    <w:rsid w:val="500806E8"/>
    <w:rsid w:val="501970E1"/>
    <w:rsid w:val="56363148"/>
    <w:rsid w:val="593A6FE6"/>
    <w:rsid w:val="5AC850F8"/>
    <w:rsid w:val="684A387F"/>
    <w:rsid w:val="6E5A14DA"/>
    <w:rsid w:val="6FA82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paragraph" w:styleId="2">
    <w:name w:val="heading 1"/>
    <w:basedOn w:val="1"/>
    <w:next w:val="1"/>
    <w:qFormat/>
    <w:uiPriority w:val="1"/>
    <w:pPr>
      <w:ind w:left="677" w:right="692"/>
      <w:jc w:val="center"/>
      <w:outlineLvl w:val="1"/>
    </w:pPr>
    <w:rPr>
      <w:rFonts w:ascii="宋体" w:hAnsi="宋体" w:eastAsia="宋体" w:cs="宋体"/>
      <w:sz w:val="44"/>
      <w:szCs w:val="44"/>
      <w:lang w:val="en-US" w:eastAsia="zh-CN" w:bidi="ar-SA"/>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1"/>
    <w:pPr>
      <w:spacing w:line="1570" w:lineRule="exact"/>
      <w:ind w:left="409" w:right="453"/>
      <w:jc w:val="center"/>
    </w:pPr>
    <w:rPr>
      <w:rFonts w:ascii="宋体" w:hAnsi="宋体" w:eastAsia="宋体" w:cs="宋体"/>
      <w:sz w:val="128"/>
      <w:szCs w:val="1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29" w:hanging="476"/>
      <w:jc w:val="both"/>
    </w:pPr>
    <w:rPr>
      <w:rFonts w:ascii="仿宋" w:hAnsi="仿宋" w:eastAsia="仿宋" w:cs="仿宋"/>
      <w:lang w:val="en-US" w:eastAsia="zh-CN" w:bidi="ar-SA"/>
    </w:rPr>
  </w:style>
  <w:style w:type="paragraph" w:customStyle="1" w:styleId="11">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2192</Words>
  <Characters>2243</Characters>
  <TotalTime>15</TotalTime>
  <ScaleCrop>false</ScaleCrop>
  <LinksUpToDate>false</LinksUpToDate>
  <CharactersWithSpaces>2247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2022-06-27T07:26:00Z</dcterms:created>
  <dc:creator>czj</dc:creator>
  <cp:lastModifiedBy>HC</cp:lastModifiedBy>
  <cp:lastPrinted>2022-06-30T03:10:00Z</cp:lastPrinted>
  <dcterms:modified xsi:type="dcterms:W3CDTF">2022-08-31T09:13:24Z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2052-11.1.0.12313</vt:lpwstr>
  </property>
  <property fmtid="{D5CDD505-2E9C-101B-9397-08002B2CF9AE}" pid="4" name="ICV">
    <vt:lpwstr>4043363114094274A9F86F36B067415E</vt:lpwstr>
  </property>
</Properties>
</file>