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b/>
          <w:bCs/>
          <w:spacing w:val="-20"/>
          <w:sz w:val="48"/>
        </w:rPr>
      </w:pPr>
      <w:r>
        <w:rPr>
          <w:rFonts w:hint="eastAsia"/>
          <w:b/>
          <w:bCs/>
          <w:spacing w:val="-20"/>
          <w:sz w:val="48"/>
        </w:rPr>
        <w:t>会昌县委书记专题调研国资国企改革工作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000000"/>
          <w:spacing w:val="15"/>
          <w:sz w:val="32"/>
          <w:szCs w:val="32"/>
          <w:shd w:val="clear" w:fill="FEFEFE"/>
        </w:rPr>
      </w:pPr>
      <w:r>
        <w:rPr>
          <w:rFonts w:hint="eastAsia" w:ascii="仿宋_GB2312" w:hAnsi="仿宋_GB2312" w:eastAsia="仿宋_GB2312" w:cs="仿宋_GB2312"/>
          <w:sz w:val="32"/>
          <w:szCs w:val="32"/>
        </w:rPr>
        <w:t>11月22日，会昌县委书记潘金城到县属国企振兴集团专题调研国资国企改革工作，并主持召开国资国企改革工作座谈会，听取国资国企改革工作进展情况汇报。</w:t>
      </w:r>
    </w:p>
    <w:p>
      <w:pPr>
        <w:keepNext w:val="0"/>
        <w:keepLines w:val="0"/>
        <w:pageBreakBefore w:val="0"/>
        <w:widowControl/>
        <w:suppressLineNumbers w:val="0"/>
        <w:kinsoku/>
        <w:wordWrap/>
        <w:overflowPunct/>
        <w:topLinePunct w:val="0"/>
        <w:autoSpaceDE/>
        <w:autoSpaceDN/>
        <w:bidi w:val="0"/>
        <w:adjustRightInd/>
        <w:snapToGrid/>
        <w:ind w:firstLine="700" w:firstLineChars="200"/>
        <w:jc w:val="left"/>
        <w:textAlignment w:val="auto"/>
        <w:rPr>
          <w:rFonts w:hint="eastAsia" w:ascii="仿宋_GB2312" w:hAnsi="仿宋_GB2312" w:eastAsia="仿宋_GB2312" w:cs="仿宋_GB2312"/>
          <w:spacing w:val="15"/>
          <w:kern w:val="0"/>
          <w:sz w:val="32"/>
          <w:szCs w:val="32"/>
          <w:bdr w:val="none" w:color="auto" w:sz="0" w:space="0"/>
          <w:lang w:val="en-US" w:eastAsia="zh-CN" w:bidi="ar"/>
        </w:rPr>
      </w:pPr>
      <w:r>
        <w:rPr>
          <w:rFonts w:hint="eastAsia" w:ascii="仿宋_GB2312" w:hAnsi="仿宋_GB2312" w:eastAsia="仿宋_GB2312" w:cs="仿宋_GB2312"/>
          <w:spacing w:val="15"/>
          <w:kern w:val="0"/>
          <w:sz w:val="32"/>
          <w:szCs w:val="32"/>
          <w:bdr w:val="none" w:color="auto" w:sz="0" w:space="0"/>
          <w:lang w:val="en-US" w:eastAsia="zh-CN" w:bidi="ar"/>
        </w:rPr>
        <w:t>会议强调要认真学习贯彻习近平总书记考察江西</w:t>
      </w:r>
      <w:bookmarkStart w:id="0" w:name="_GoBack"/>
      <w:bookmarkEnd w:id="0"/>
      <w:r>
        <w:rPr>
          <w:rFonts w:hint="eastAsia" w:ascii="仿宋_GB2312" w:hAnsi="仿宋_GB2312" w:eastAsia="仿宋_GB2312" w:cs="仿宋_GB2312"/>
          <w:spacing w:val="15"/>
          <w:kern w:val="0"/>
          <w:sz w:val="32"/>
          <w:szCs w:val="32"/>
          <w:bdr w:val="none" w:color="auto" w:sz="0" w:space="0"/>
          <w:lang w:val="en-US" w:eastAsia="zh-CN" w:bidi="ar"/>
        </w:rPr>
        <w:t>重要讲话精神，紧紧围绕“强根基、拓市场、大发展”目标，贯彻落实省委深改委关于国企改革创新攻坚行动的部署要求，立足国有企业肩负的使命任务，树牢市场化发展意识，持续把制度机制优势转化为治理效能，推动国资国企改革再深化。　　</w:t>
      </w:r>
    </w:p>
    <w:p>
      <w:pPr>
        <w:keepNext w:val="0"/>
        <w:keepLines w:val="0"/>
        <w:pageBreakBefore w:val="0"/>
        <w:widowControl/>
        <w:suppressLineNumbers w:val="0"/>
        <w:kinsoku/>
        <w:wordWrap/>
        <w:overflowPunct/>
        <w:topLinePunct w:val="0"/>
        <w:autoSpaceDE/>
        <w:autoSpaceDN/>
        <w:bidi w:val="0"/>
        <w:adjustRightInd/>
        <w:snapToGrid/>
        <w:ind w:firstLine="703" w:firstLineChars="200"/>
        <w:jc w:val="left"/>
        <w:textAlignment w:val="auto"/>
        <w:rPr>
          <w:rFonts w:hint="eastAsia" w:ascii="仿宋_GB2312" w:hAnsi="仿宋_GB2312" w:eastAsia="仿宋_GB2312" w:cs="仿宋_GB2312"/>
          <w:spacing w:val="15"/>
          <w:kern w:val="0"/>
          <w:sz w:val="32"/>
          <w:szCs w:val="32"/>
          <w:bdr w:val="none" w:color="auto" w:sz="0" w:space="0"/>
          <w:lang w:val="en-US" w:eastAsia="zh-CN" w:bidi="ar"/>
        </w:rPr>
      </w:pPr>
      <w:r>
        <w:rPr>
          <w:rStyle w:val="6"/>
          <w:rFonts w:hint="eastAsia" w:ascii="仿宋_GB2312" w:hAnsi="仿宋_GB2312" w:eastAsia="仿宋_GB2312" w:cs="仿宋_GB2312"/>
          <w:color w:val="auto"/>
          <w:spacing w:val="15"/>
          <w:kern w:val="0"/>
          <w:sz w:val="32"/>
          <w:szCs w:val="32"/>
          <w:bdr w:val="none" w:color="auto" w:sz="0" w:space="0"/>
          <w:lang w:val="en-US" w:eastAsia="zh-CN" w:bidi="ar"/>
        </w:rPr>
        <w:t>要明晰国企改革方向。</w:t>
      </w:r>
      <w:r>
        <w:rPr>
          <w:rFonts w:hint="eastAsia" w:ascii="仿宋_GB2312" w:hAnsi="仿宋_GB2312" w:eastAsia="仿宋_GB2312" w:cs="仿宋_GB2312"/>
          <w:spacing w:val="15"/>
          <w:kern w:val="0"/>
          <w:sz w:val="32"/>
          <w:szCs w:val="32"/>
          <w:bdr w:val="none" w:color="auto" w:sz="0" w:space="0"/>
          <w:lang w:val="en-US" w:eastAsia="zh-CN" w:bidi="ar"/>
        </w:rPr>
        <w:t>县振兴集团是“五级主体经营”的“总运营师”，要紧紧围绕会昌县打造全国乡村振兴示范地、湾区海西优质农产品加工供应基地目标要求，选准着力点，找准突破口，切实发挥好国有企业的政治优势、资源优势，积极探索发展新思路，以更好的办法用好盘活乡村资源、有效资产，打响“会昌独好”区域公共品牌。　　</w:t>
      </w:r>
    </w:p>
    <w:p>
      <w:pPr>
        <w:keepNext w:val="0"/>
        <w:keepLines w:val="0"/>
        <w:pageBreakBefore w:val="0"/>
        <w:widowControl/>
        <w:suppressLineNumbers w:val="0"/>
        <w:kinsoku/>
        <w:wordWrap/>
        <w:overflowPunct/>
        <w:topLinePunct w:val="0"/>
        <w:autoSpaceDE/>
        <w:autoSpaceDN/>
        <w:bidi w:val="0"/>
        <w:adjustRightInd/>
        <w:snapToGrid/>
        <w:ind w:firstLine="703" w:firstLineChars="200"/>
        <w:jc w:val="left"/>
        <w:textAlignment w:val="auto"/>
        <w:rPr>
          <w:rFonts w:hint="eastAsia" w:ascii="仿宋_GB2312" w:hAnsi="仿宋_GB2312" w:eastAsia="仿宋_GB2312" w:cs="仿宋_GB2312"/>
          <w:spacing w:val="15"/>
          <w:kern w:val="0"/>
          <w:sz w:val="32"/>
          <w:szCs w:val="32"/>
          <w:bdr w:val="none" w:color="auto" w:sz="0" w:space="0"/>
          <w:lang w:val="en-US" w:eastAsia="zh-CN" w:bidi="ar"/>
        </w:rPr>
      </w:pPr>
      <w:r>
        <w:rPr>
          <w:rStyle w:val="6"/>
          <w:rFonts w:hint="eastAsia" w:ascii="仿宋_GB2312" w:hAnsi="仿宋_GB2312" w:eastAsia="仿宋_GB2312" w:cs="仿宋_GB2312"/>
          <w:color w:val="auto"/>
          <w:spacing w:val="15"/>
          <w:kern w:val="0"/>
          <w:sz w:val="32"/>
          <w:szCs w:val="32"/>
          <w:bdr w:val="none" w:color="auto" w:sz="0" w:space="0"/>
          <w:lang w:val="en-US" w:eastAsia="zh-CN" w:bidi="ar"/>
        </w:rPr>
        <w:t>要优化国企战略布局。</w:t>
      </w:r>
      <w:r>
        <w:rPr>
          <w:rFonts w:hint="eastAsia" w:ascii="仿宋_GB2312" w:hAnsi="仿宋_GB2312" w:eastAsia="仿宋_GB2312" w:cs="仿宋_GB2312"/>
          <w:spacing w:val="15"/>
          <w:kern w:val="0"/>
          <w:sz w:val="32"/>
          <w:szCs w:val="32"/>
          <w:bdr w:val="none" w:color="auto" w:sz="0" w:space="0"/>
          <w:lang w:val="en-US" w:eastAsia="zh-CN" w:bidi="ar"/>
        </w:rPr>
        <w:t>围绕国有资本布局和结构，厘清政府、出资监管机构、企业职责，建立行之有效的内部管理机制，明确集团内各职能部门和子公司的职责权限，实施稳健的投资管控和风险管理，确保国有资产保值增值职责。强化县属国企党组织在公司法人治理结构中的法定地位，创新县属国企党组织发挥领导作用的途径和方式。对全县国有资产进行全面、彻底的摸底，用好现有资源资产，推进经营性国有资产移交，将乡村经营性资产及部分龙头企业股权划转县属国有企业，壮大国有资产规模。　　</w:t>
      </w:r>
    </w:p>
    <w:p>
      <w:pPr>
        <w:keepNext w:val="0"/>
        <w:keepLines w:val="0"/>
        <w:pageBreakBefore w:val="0"/>
        <w:widowControl/>
        <w:suppressLineNumbers w:val="0"/>
        <w:kinsoku/>
        <w:wordWrap/>
        <w:overflowPunct/>
        <w:topLinePunct w:val="0"/>
        <w:autoSpaceDE/>
        <w:autoSpaceDN/>
        <w:bidi w:val="0"/>
        <w:adjustRightInd/>
        <w:snapToGrid/>
        <w:ind w:firstLine="703" w:firstLineChars="200"/>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color w:val="auto"/>
          <w:spacing w:val="15"/>
          <w:kern w:val="0"/>
          <w:sz w:val="32"/>
          <w:szCs w:val="32"/>
          <w:bdr w:val="none" w:color="auto" w:sz="0" w:space="0"/>
          <w:lang w:val="en-US" w:eastAsia="zh-CN" w:bidi="ar"/>
        </w:rPr>
        <w:t>要构建国企人才梯队。</w:t>
      </w:r>
      <w:r>
        <w:rPr>
          <w:rFonts w:hint="eastAsia" w:ascii="仿宋_GB2312" w:hAnsi="仿宋_GB2312" w:eastAsia="仿宋_GB2312" w:cs="仿宋_GB2312"/>
          <w:spacing w:val="15"/>
          <w:kern w:val="0"/>
          <w:sz w:val="32"/>
          <w:szCs w:val="32"/>
          <w:bdr w:val="none" w:color="auto" w:sz="0" w:space="0"/>
          <w:lang w:val="en-US" w:eastAsia="zh-CN" w:bidi="ar"/>
        </w:rPr>
        <w:t>实施人才强企战略，试行国企职业经理人制度，探索从行政事业单位中选拔优秀干部到企业挂职锻炼机制，完善企业内部人才流动机制，实行管理人员竞争上岗、末位调整、不胜任退出制度，用活用好各类人才，着力构建高素质、专业化的国有企业人才队伍梯队。</w:t>
      </w:r>
    </w:p>
    <w:p>
      <w:pPr>
        <w:bidi w:val="0"/>
        <w:rPr>
          <w:rStyle w:val="5"/>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spacing w:val="15"/>
          <w:sz w:val="32"/>
          <w:szCs w:val="32"/>
          <w:bdr w:val="none" w:color="auto" w:sz="0" w:space="0"/>
          <w:shd w:val="clear" w:fill="FFFFFF"/>
        </w:rPr>
        <w:t>　　</w:t>
      </w:r>
      <w:r>
        <w:rPr>
          <w:rStyle w:val="6"/>
          <w:rFonts w:hint="eastAsia" w:ascii="仿宋_GB2312" w:hAnsi="仿宋_GB2312" w:eastAsia="仿宋_GB2312" w:cs="仿宋_GB2312"/>
          <w:i w:val="0"/>
          <w:iCs w:val="0"/>
          <w:caps w:val="0"/>
          <w:color w:val="auto"/>
          <w:spacing w:val="15"/>
          <w:sz w:val="32"/>
          <w:szCs w:val="32"/>
          <w:bdr w:val="none" w:color="auto" w:sz="0" w:space="0"/>
          <w:shd w:val="clear" w:fill="FFFFFF"/>
        </w:rPr>
        <w:t>要深化国企薪酬改革。</w:t>
      </w:r>
      <w:r>
        <w:rPr>
          <w:rFonts w:hint="eastAsia" w:ascii="仿宋_GB2312" w:hAnsi="仿宋_GB2312" w:eastAsia="仿宋_GB2312" w:cs="仿宋_GB2312"/>
          <w:i w:val="0"/>
          <w:iCs w:val="0"/>
          <w:caps w:val="0"/>
          <w:spacing w:val="15"/>
          <w:sz w:val="32"/>
          <w:szCs w:val="32"/>
          <w:bdr w:val="none" w:color="auto" w:sz="0" w:space="0"/>
          <w:shd w:val="clear" w:fill="FFFFFF"/>
        </w:rPr>
        <w:t>建立差异化、多模式的分配机制，发挥收入分配的激励导向作用，鼓励向作出突出贡献的人才和一线苦脏险累岗位倾斜，实现薪酬分配与考核结果挂钩，调动国企员工积极性，激发国有企业动力和活力。</w:t>
      </w:r>
    </w:p>
    <w:p>
      <w:pPr>
        <w:keepNext w:val="0"/>
        <w:keepLines w:val="0"/>
        <w:pageBreakBefore w:val="0"/>
        <w:widowControl w:val="0"/>
        <w:kinsoku/>
        <w:wordWrap/>
        <w:overflowPunct/>
        <w:topLinePunct w:val="0"/>
        <w:autoSpaceDE/>
        <w:autoSpaceDN/>
        <w:bidi w:val="0"/>
        <w:adjustRightInd/>
        <w:snapToGrid/>
        <w:ind w:firstLine="700" w:firstLineChars="200"/>
        <w:textAlignment w:val="auto"/>
        <w:rPr>
          <w:rFonts w:hint="eastAsia" w:ascii="仿宋_GB2312" w:hAnsi="仿宋_GB2312" w:eastAsia="仿宋_GB2312" w:cs="仿宋_GB2312"/>
          <w:i w:val="0"/>
          <w:iCs w:val="0"/>
          <w:caps w:val="0"/>
          <w:color w:val="000000"/>
          <w:spacing w:val="15"/>
          <w:sz w:val="32"/>
          <w:szCs w:val="32"/>
          <w:shd w:val="clear" w:fill="FEFEFE"/>
        </w:rPr>
      </w:pPr>
    </w:p>
    <w:p>
      <w:pPr>
        <w:tabs>
          <w:tab w:val="left" w:pos="6216"/>
        </w:tabs>
        <w:bidi w:val="0"/>
        <w:ind w:firstLine="4160" w:firstLineChars="13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2023年11月24日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ODc3MThmMzNiNmI0OTU0Njg4MmFlNjYzMjM2NTIifQ=="/>
  </w:docVars>
  <w:rsids>
    <w:rsidRoot w:val="1E4F3BE4"/>
    <w:rsid w:val="0E5C209B"/>
    <w:rsid w:val="1E4F3BE4"/>
    <w:rsid w:val="1E657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2024-01-04T08:03:00Z</dcterms:created>
  <dc:creator>梅子</dc:creator>
  <cp:lastModifiedBy>梅子</cp:lastModifiedBy>
  <cp:lastPrinted>2024-01-04T08:06:14Z</cp:lastPrinted>
  <dcterms:modified xsi:type="dcterms:W3CDTF">2024-01-04T08:13:43Z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23A5368C1796483BBD517448AC444842_11</vt:lpwstr>
  </property>
</Properties>
</file>