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center"/>
        <w:textAlignment w:val="baseline"/>
        <w:rPr>
          <w:rFonts w:ascii="微软雅黑" w:hAnsi="微软雅黑" w:eastAsia="微软雅黑" w:cs="微软雅黑"/>
          <w:b/>
          <w:bCs/>
          <w:i w:val="0"/>
          <w:iCs w:val="0"/>
          <w:caps w:val="0"/>
          <w:color w:val="333333"/>
          <w:spacing w:val="0"/>
          <w:kern w:val="0"/>
          <w:sz w:val="24"/>
          <w:szCs w:val="24"/>
          <w:u w:val="none"/>
          <w:shd w:val="clear" w:fill="FFFFFF"/>
          <w:vertAlign w:val="baseline"/>
          <w:lang w:val="en-US" w:eastAsia="zh-CN" w:bidi="ar"/>
        </w:rPr>
      </w:pPr>
      <w:r>
        <w:rPr>
          <w:rFonts w:ascii="微软雅黑" w:hAnsi="微软雅黑" w:eastAsia="微软雅黑" w:cs="微软雅黑"/>
          <w:b/>
          <w:bCs/>
          <w:i w:val="0"/>
          <w:iCs w:val="0"/>
          <w:caps w:val="0"/>
          <w:color w:val="242424"/>
          <w:spacing w:val="0"/>
          <w:sz w:val="30"/>
          <w:szCs w:val="30"/>
          <w:shd w:val="clear" w:fill="FFFFFF"/>
        </w:rPr>
        <w:t>会昌县商务局202</w:t>
      </w:r>
      <w:r>
        <w:rPr>
          <w:rFonts w:hint="eastAsia" w:ascii="微软雅黑" w:hAnsi="微软雅黑" w:eastAsia="微软雅黑" w:cs="微软雅黑"/>
          <w:b/>
          <w:bCs/>
          <w:i w:val="0"/>
          <w:iCs w:val="0"/>
          <w:caps w:val="0"/>
          <w:color w:val="242424"/>
          <w:spacing w:val="0"/>
          <w:sz w:val="30"/>
          <w:szCs w:val="30"/>
          <w:shd w:val="clear" w:fill="FFFFFF"/>
          <w:lang w:val="en-US" w:eastAsia="zh-CN"/>
        </w:rPr>
        <w:t>3</w:t>
      </w:r>
      <w:r>
        <w:rPr>
          <w:rFonts w:ascii="微软雅黑" w:hAnsi="微软雅黑" w:eastAsia="微软雅黑" w:cs="微软雅黑"/>
          <w:b/>
          <w:bCs/>
          <w:i w:val="0"/>
          <w:iCs w:val="0"/>
          <w:caps w:val="0"/>
          <w:color w:val="242424"/>
          <w:spacing w:val="0"/>
          <w:sz w:val="30"/>
          <w:szCs w:val="30"/>
          <w:shd w:val="clear" w:fill="FFFFFF"/>
        </w:rPr>
        <w:t>年政府信息公开工作年度报告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宋体" w:hAnsi="宋体" w:eastAsia="宋体" w:cs="宋体"/>
          <w:i w:val="0"/>
          <w:iCs w:val="0"/>
          <w:caps w:val="0"/>
          <w:color w:val="333333"/>
          <w:spacing w:val="0"/>
          <w:sz w:val="26"/>
          <w:szCs w:val="26"/>
          <w:u w:val="none"/>
        </w:rPr>
      </w:pPr>
      <w:r>
        <w:rPr>
          <w:rFonts w:ascii="微软雅黑" w:hAnsi="微软雅黑" w:eastAsia="微软雅黑" w:cs="微软雅黑"/>
          <w:i w:val="0"/>
          <w:iCs w:val="0"/>
          <w:caps w:val="0"/>
          <w:color w:val="333333"/>
          <w:spacing w:val="0"/>
          <w:kern w:val="0"/>
          <w:sz w:val="24"/>
          <w:szCs w:val="24"/>
          <w:u w:val="none"/>
          <w:shd w:val="clear" w:fill="FFFFFF"/>
          <w:vertAlign w:val="baseline"/>
          <w:lang w:val="en-US" w:eastAsia="zh-CN" w:bidi="ar"/>
        </w:rPr>
        <w:t>本报告依据《中华人民共和国政府信息公开条例》（国务院令第</w:t>
      </w:r>
      <w:r>
        <w:rPr>
          <w:rFonts w:hint="eastAsia" w:ascii="微软雅黑" w:hAnsi="微软雅黑" w:eastAsia="微软雅黑" w:cs="微软雅黑"/>
          <w:i w:val="0"/>
          <w:iCs w:val="0"/>
          <w:caps w:val="0"/>
          <w:color w:val="333333"/>
          <w:spacing w:val="0"/>
          <w:kern w:val="0"/>
          <w:sz w:val="24"/>
          <w:szCs w:val="24"/>
          <w:u w:val="none"/>
          <w:shd w:val="clear" w:fill="FFFFFF"/>
          <w:vertAlign w:val="baseline"/>
          <w:lang w:val="en-US" w:eastAsia="zh-CN" w:bidi="ar"/>
        </w:rPr>
        <w:t>711号，以下简称新《条例》）和《国务院办公厅政府信息与政务公开办公室关于政府信息公开工作年度报告有关事项的通知》（国办公开办函〔2019〕60号）要求，由会昌县商务局结合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本年度报告的电子版可以从会昌县人民政府网站（县商务局）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ascii="微软雅黑" w:hAnsi="微软雅黑" w:eastAsia="微软雅黑" w:cs="微软雅黑"/>
          <w:i w:val="0"/>
          <w:iCs w:val="0"/>
          <w:caps w:val="0"/>
          <w:color w:val="333333"/>
          <w:spacing w:val="0"/>
          <w:sz w:val="26"/>
          <w:szCs w:val="26"/>
          <w:u w:val="none"/>
        </w:rPr>
      </w:pPr>
      <w:r>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420"/>
        <w:jc w:val="left"/>
        <w:textAlignment w:val="baseline"/>
        <w:rPr>
          <w:rFonts w:hint="eastAsia" w:ascii="微软雅黑" w:hAnsi="微软雅黑" w:eastAsia="微软雅黑" w:cs="微软雅黑"/>
          <w:i w:val="0"/>
          <w:iCs w:val="0"/>
          <w:caps w:val="0"/>
          <w:color w:val="333333"/>
          <w:spacing w:val="0"/>
          <w:sz w:val="24"/>
          <w:szCs w:val="24"/>
          <w:u w:val="none"/>
          <w:shd w:val="clear" w:fill="FFFFFF"/>
          <w:vertAlign w:val="baseline"/>
        </w:rPr>
      </w:pPr>
      <w:r>
        <w:rPr>
          <w:rFonts w:hint="eastAsia" w:ascii="微软雅黑" w:hAnsi="微软雅黑" w:eastAsia="微软雅黑" w:cs="微软雅黑"/>
          <w:i w:val="0"/>
          <w:iCs w:val="0"/>
          <w:caps w:val="0"/>
          <w:color w:val="333333"/>
          <w:spacing w:val="0"/>
          <w:sz w:val="24"/>
          <w:szCs w:val="24"/>
          <w:u w:val="none"/>
          <w:shd w:val="clear" w:fill="FFFFFF"/>
          <w:vertAlign w:val="baseline"/>
        </w:rPr>
        <w:t>202</w:t>
      </w:r>
      <w:r>
        <w:rPr>
          <w:rFonts w:hint="eastAsia" w:ascii="微软雅黑" w:hAnsi="微软雅黑" w:eastAsia="微软雅黑" w:cs="微软雅黑"/>
          <w:i w:val="0"/>
          <w:iCs w:val="0"/>
          <w:caps w:val="0"/>
          <w:color w:val="333333"/>
          <w:spacing w:val="0"/>
          <w:sz w:val="24"/>
          <w:szCs w:val="24"/>
          <w:u w:val="none"/>
          <w:shd w:val="clear" w:fill="FFFFFF"/>
          <w:vertAlign w:val="baseline"/>
          <w:lang w:val="en-US" w:eastAsia="zh-CN"/>
        </w:rPr>
        <w:t>3</w:t>
      </w:r>
      <w:r>
        <w:rPr>
          <w:rFonts w:hint="eastAsia" w:ascii="微软雅黑" w:hAnsi="微软雅黑" w:eastAsia="微软雅黑" w:cs="微软雅黑"/>
          <w:i w:val="0"/>
          <w:iCs w:val="0"/>
          <w:caps w:val="0"/>
          <w:color w:val="333333"/>
          <w:spacing w:val="0"/>
          <w:sz w:val="24"/>
          <w:szCs w:val="24"/>
          <w:u w:val="none"/>
          <w:shd w:val="clear" w:fill="FFFFFF"/>
          <w:vertAlign w:val="baseline"/>
        </w:rPr>
        <w:t>年，我局根据《中华人民共和国政府信息公开条例》要求，认真贯彻落实省、市、县相关文件精神，扎实推进政务信息公开工作。一是加强组织领导。我局高度重视政府信息公开工作，局领导多次上会研究部署，并根据我局人员变动情况，及时调整政务信息公开工作领导小组成员;二是建立健全工作制度。进一步完善了政务信息公开制，使政务信息公开工作简单化、规范化，切实提高了工作效率;三是完善配套方案。我局开会研究并通过了本部门关于政务信息公开专人负责的提议，使政务信息公开工作任务到人、责任到人，完善了政务信息公开工作汇报方案。同时多次组织单位干部职工学习《中华人民共和国政府信息公开条例》等文件，熟悉政务信息公开规定、流程、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both"/>
        <w:textAlignment w:val="baseline"/>
        <w:rPr>
          <w:rFonts w:hint="eastAsia" w:ascii="宋体" w:hAnsi="宋体" w:eastAsia="宋体" w:cs="宋体"/>
          <w:i w:val="0"/>
          <w:iCs w:val="0"/>
          <w:caps w:val="0"/>
          <w:color w:val="505050"/>
          <w:spacing w:val="0"/>
          <w:sz w:val="18"/>
          <w:szCs w:val="18"/>
          <w:u w:val="none"/>
        </w:rPr>
      </w:pPr>
      <w:r>
        <w:rPr>
          <w:rFonts w:ascii="楷体_GB2312" w:hAnsi="宋体" w:eastAsia="楷体_GB2312" w:cs="楷体_GB2312"/>
          <w:b/>
          <w:bCs/>
          <w:i w:val="0"/>
          <w:iCs w:val="0"/>
          <w:caps w:val="0"/>
          <w:color w:val="505050"/>
          <w:spacing w:val="0"/>
          <w:kern w:val="0"/>
          <w:sz w:val="31"/>
          <w:szCs w:val="31"/>
          <w:u w:val="none"/>
          <w:shd w:val="clear" w:fill="FFFFFF"/>
          <w:vertAlign w:val="baseline"/>
          <w:lang w:val="en-US" w:eastAsia="zh-CN" w:bidi="ar"/>
        </w:rPr>
        <w:t>（一）主动公开政府信息情况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202</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3年，会昌县商务局主动公开政府信息共计337条，全部在县政府网站政府信息公开专栏公开。 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宋体" w:hAnsi="宋体" w:eastAsia="宋体" w:cs="宋体"/>
          <w:i w:val="0"/>
          <w:iCs w:val="0"/>
          <w:caps w:val="0"/>
          <w:color w:val="505050"/>
          <w:spacing w:val="0"/>
          <w:sz w:val="18"/>
          <w:szCs w:val="18"/>
          <w:u w:val="none"/>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主动公开政府信息的主要类别 ：1.概况信息。包括我局主要职责，机构职能，领导简历、分工、重要活动和讲话。 2.法规文件。包括我局执行的法律、法规和规章；国家、省商务厅和市商务局制定的规范性文件和其他有关文件。 3.发展规划。包括我局编制的年度工作计划。 4.工作动态。包括我局重要会议、活动报道、自身建设等政务的最新动态；国家商务部、江西省商务厅、赣州市商务局及本县商务局动态。 5.人事信息。</w:t>
      </w:r>
      <w:r>
        <w:rPr>
          <w:rFonts w:hint="eastAsia" w:ascii="微软雅黑" w:hAnsi="微软雅黑" w:eastAsia="微软雅黑" w:cs="微软雅黑"/>
          <w:i w:val="0"/>
          <w:iCs w:val="0"/>
          <w:caps w:val="0"/>
          <w:color w:val="505050"/>
          <w:spacing w:val="-15"/>
          <w:kern w:val="0"/>
          <w:sz w:val="24"/>
          <w:szCs w:val="24"/>
          <w:u w:val="none"/>
          <w:shd w:val="clear" w:fill="FFFFFF"/>
          <w:vertAlign w:val="baseline"/>
          <w:lang w:val="en-US" w:eastAsia="zh-CN" w:bidi="ar"/>
        </w:rPr>
        <w:t>包括我局人事任免、考录招牌、表彰奖励等。 </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6.财经信息。包括我局编制的预算收支总表和“三公”经费预算统计表等。7.其他需要公开的信息。除上述6类信息以外我局认为需要公开的其他信息。</w:t>
      </w:r>
      <w:r>
        <w:rPr>
          <w:rFonts w:hint="eastAsia" w:ascii="微软雅黑" w:hAnsi="微软雅黑" w:eastAsia="微软雅黑" w:cs="微软雅黑"/>
          <w:i w:val="0"/>
          <w:iCs w:val="0"/>
          <w:caps w:val="0"/>
          <w:color w:val="505050"/>
          <w:spacing w:val="0"/>
          <w:kern w:val="0"/>
          <w:sz w:val="24"/>
          <w:szCs w:val="24"/>
          <w:u w:val="none"/>
          <w:shd w:val="clear" w:fill="FFFFFF"/>
          <w:vertAlign w:val="subscript"/>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（二）依申请公开情况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default"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202</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3年，会昌县商务局共收到依申请公开信息</w:t>
      </w:r>
      <w:r>
        <w:rPr>
          <w:rFonts w:hint="default"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0</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件，上年结转</w:t>
      </w:r>
      <w:r>
        <w:rPr>
          <w:rFonts w:hint="default"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0</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件，当年办结</w:t>
      </w:r>
      <w:r>
        <w:rPr>
          <w:rFonts w:hint="default"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0</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件，结转下年度</w:t>
      </w:r>
      <w:r>
        <w:rPr>
          <w:rFonts w:hint="default"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0</w:t>
      </w: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both"/>
        <w:textAlignment w:val="baseline"/>
        <w:rPr>
          <w:rFonts w:hint="eastAsia" w:ascii="宋体" w:hAnsi="宋体" w:eastAsia="宋体" w:cs="宋体"/>
          <w:i w:val="0"/>
          <w:iCs w:val="0"/>
          <w:caps w:val="0"/>
          <w:color w:val="505050"/>
          <w:spacing w:val="0"/>
          <w:sz w:val="18"/>
          <w:szCs w:val="18"/>
          <w:u w:val="none"/>
        </w:rPr>
      </w:pPr>
      <w:r>
        <w:rPr>
          <w:rFonts w:hint="eastAsia" w:ascii="楷体_GB2312" w:hAnsi="宋体" w:eastAsia="楷体_GB2312" w:cs="楷体_GB2312"/>
          <w:b/>
          <w:bCs/>
          <w:i w:val="0"/>
          <w:iCs w:val="0"/>
          <w:caps w:val="0"/>
          <w:color w:val="505050"/>
          <w:spacing w:val="0"/>
          <w:kern w:val="0"/>
          <w:sz w:val="31"/>
          <w:szCs w:val="31"/>
          <w:u w:val="none"/>
          <w:shd w:val="clear" w:fill="FFFFFF"/>
          <w:vertAlign w:val="baseline"/>
          <w:lang w:val="en-US" w:eastAsia="zh-CN" w:bidi="ar"/>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会昌县商务局以政务信息主动公开目录为抓手，加强对政务信息的管理，进一步规范了政务信息公开的流程，加强信息发布前审查，强化网站信息安全管理，严格按照要求公开政务信息。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一是规范信息发布流程。严格实行信息编写、审核和报送各环节层层把关负责制，严把信息质量关口，重要信息由主要领导审签，做到逐级把关、层层负责。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二是健全保密审查机制，实行保密审查责任制，加强政务信息公开属性审核，进一步把好政务信息审核关。根据《中华人民共和国保守国家秘密法》、《中华人民共和国保守国家秘密法实施办法》和《中华人民共和国政府信息公开条例》，制定会昌县商务局政务公开保密审查制度，明确政务信息公开保密审核坚持“先审核后公开”、“谁公开谁审核、谁审核谁负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三是规范网站建设，强化网站操作管理。健全了政务网站建设、运行、管理、内容保障、安全维护等制度。规范了采集、编辑、审核、发布工作流程，推进政务新媒体健康有序发展。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both"/>
        <w:textAlignment w:val="baseline"/>
        <w:rPr>
          <w:rFonts w:hint="eastAsia" w:ascii="宋体" w:hAnsi="宋体" w:eastAsia="宋体" w:cs="宋体"/>
          <w:i w:val="0"/>
          <w:iCs w:val="0"/>
          <w:caps w:val="0"/>
          <w:color w:val="505050"/>
          <w:spacing w:val="0"/>
          <w:sz w:val="18"/>
          <w:szCs w:val="18"/>
          <w:u w:val="none"/>
        </w:rPr>
      </w:pPr>
      <w:r>
        <w:rPr>
          <w:rFonts w:hint="eastAsia" w:ascii="楷体_GB2312" w:hAnsi="宋体" w:eastAsia="楷体_GB2312" w:cs="楷体_GB2312"/>
          <w:b/>
          <w:bCs/>
          <w:i w:val="0"/>
          <w:iCs w:val="0"/>
          <w:caps w:val="0"/>
          <w:color w:val="505050"/>
          <w:spacing w:val="0"/>
          <w:kern w:val="0"/>
          <w:sz w:val="31"/>
          <w:szCs w:val="31"/>
          <w:u w:val="none"/>
          <w:shd w:val="clear" w:fill="FFFFFF"/>
          <w:vertAlign w:val="baseline"/>
          <w:lang w:val="en-US" w:eastAsia="zh-CN" w:bidi="ar"/>
        </w:rPr>
        <w:t>（四）平台建设情况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2023年，会昌县商务局不断拓展信息公开渠道，积极推进公开平台建设，不断加强新媒体矩阵建设，优化完善政府门户网站，推动建立“会昌商务”政务公开平台。“会昌商务”公众号发布文章33篇，及时向社会公布会昌县商务局重要会议、重大决策部署和重要文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jc w:val="both"/>
        <w:textAlignment w:val="baseline"/>
        <w:rPr>
          <w:rFonts w:hint="eastAsia" w:ascii="宋体" w:hAnsi="宋体" w:eastAsia="宋体" w:cs="宋体"/>
          <w:i w:val="0"/>
          <w:iCs w:val="0"/>
          <w:caps w:val="0"/>
          <w:color w:val="505050"/>
          <w:spacing w:val="0"/>
          <w:sz w:val="18"/>
          <w:szCs w:val="18"/>
          <w:u w:val="none"/>
        </w:rPr>
      </w:pPr>
      <w:r>
        <w:rPr>
          <w:rFonts w:hint="eastAsia" w:ascii="楷体_GB2312" w:hAnsi="宋体" w:eastAsia="楷体_GB2312" w:cs="楷体_GB2312"/>
          <w:b/>
          <w:bCs/>
          <w:i w:val="0"/>
          <w:iCs w:val="0"/>
          <w:caps w:val="0"/>
          <w:color w:val="505050"/>
          <w:spacing w:val="0"/>
          <w:kern w:val="0"/>
          <w:sz w:val="31"/>
          <w:szCs w:val="31"/>
          <w:u w:val="none"/>
          <w:shd w:val="clear" w:fill="FFFFFF"/>
          <w:vertAlign w:val="baseline"/>
          <w:lang w:val="en-US" w:eastAsia="zh-CN" w:bidi="ar"/>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一是加强政务公开网站与新媒体公开信息的监督。采取日常监督和定期监测通报结合，切实加强政务公开网站与新媒体信息内容建设。对日常发现的问题，点对点交给专人进行整改。经过监测、整改，“四不”问题得到有效改善，域名不规范、安全漏洞等问题得到了有效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 w:firstLineChars="200"/>
        <w:jc w:val="both"/>
        <w:textAlignment w:val="baseline"/>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pPr>
      <w:r>
        <w:rPr>
          <w:rFonts w:hint="eastAsia" w:ascii="微软雅黑" w:hAnsi="微软雅黑" w:eastAsia="微软雅黑" w:cs="微软雅黑"/>
          <w:i w:val="0"/>
          <w:iCs w:val="0"/>
          <w:caps w:val="0"/>
          <w:color w:val="505050"/>
          <w:spacing w:val="0"/>
          <w:kern w:val="0"/>
          <w:sz w:val="24"/>
          <w:szCs w:val="24"/>
          <w:u w:val="none"/>
          <w:shd w:val="clear" w:fill="FFFFFF"/>
          <w:vertAlign w:val="baseline"/>
          <w:lang w:val="en-US" w:eastAsia="zh-CN" w:bidi="ar"/>
        </w:rPr>
        <w:t>二是加强了政务信息公开业务培训学习。积极参加市、县组织的新修订的《中华人民共和国政府信息公开条例》学习宣传培训会，参加了全省政务公开工作培训班培训，进一步提高我局政务公开水平。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t>二、主动公开政府信息情况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i w:val="0"/>
          <w:iCs w:val="0"/>
          <w:caps w:val="0"/>
          <w:color w:val="333333"/>
          <w:spacing w:val="0"/>
          <w:kern w:val="0"/>
          <w:sz w:val="24"/>
          <w:szCs w:val="24"/>
          <w:u w:val="none"/>
          <w:shd w:val="clear" w:fill="FFFFFF"/>
          <w:vertAlign w:val="baseline"/>
          <w:lang w:val="en-US" w:eastAsia="zh-CN" w:bidi="ar"/>
        </w:rPr>
        <w:t> </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本年</w:t>
            </w:r>
            <w:r>
              <w:rPr>
                <w:rFonts w:hint="eastAsia" w:ascii="宋体" w:hAnsi="宋体" w:eastAsia="宋体" w:cs="宋体"/>
                <w:i w:val="0"/>
                <w:iCs w:val="0"/>
                <w:color w:val="505050"/>
                <w:kern w:val="0"/>
                <w:sz w:val="24"/>
                <w:szCs w:val="24"/>
                <w:u w:val="none"/>
                <w:vertAlign w:val="baseline"/>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现行有效件</w:t>
            </w:r>
            <w:r>
              <w:rPr>
                <w:rFonts w:hint="eastAsia" w:ascii="宋体" w:hAnsi="宋体" w:eastAsia="宋体" w:cs="宋体"/>
                <w:i w:val="0"/>
                <w:iCs w:val="0"/>
                <w:color w:val="505050"/>
                <w:kern w:val="0"/>
                <w:sz w:val="24"/>
                <w:szCs w:val="24"/>
                <w:u w:val="none"/>
                <w:vertAlign w:val="baseline"/>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t> 三、收到和处理政府信息公开申请情况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i w:val="0"/>
          <w:iCs w:val="0"/>
          <w:caps w:val="0"/>
          <w:color w:val="333333"/>
          <w:spacing w:val="0"/>
          <w:kern w:val="0"/>
          <w:sz w:val="24"/>
          <w:szCs w:val="24"/>
          <w:u w:val="none"/>
          <w:shd w:val="clear" w:fill="FFFFFF"/>
          <w:vertAlign w:val="baseline"/>
          <w:lang w:val="en-US" w:eastAsia="zh-CN" w:bidi="ar"/>
        </w:rPr>
        <w:t> </w:t>
      </w:r>
    </w:p>
    <w:tbl>
      <w:tblPr>
        <w:tblStyle w:val="3"/>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52"/>
        <w:gridCol w:w="1149"/>
        <w:gridCol w:w="3136"/>
        <w:gridCol w:w="673"/>
        <w:gridCol w:w="673"/>
        <w:gridCol w:w="673"/>
        <w:gridCol w:w="673"/>
        <w:gridCol w:w="673"/>
        <w:gridCol w:w="673"/>
        <w:gridCol w:w="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037" w:type="dxa"/>
            <w:gridSpan w:val="3"/>
            <w:vMerge w:val="restart"/>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ascii="楷体" w:hAnsi="楷体" w:eastAsia="楷体" w:cs="楷体"/>
                <w:i w:val="0"/>
                <w:iCs w:val="0"/>
                <w:color w:val="505050"/>
                <w:kern w:val="0"/>
                <w:sz w:val="24"/>
                <w:szCs w:val="24"/>
                <w:u w:val="none"/>
                <w:vertAlign w:val="baseline"/>
                <w:lang w:val="en-US" w:eastAsia="zh-CN" w:bidi="ar"/>
              </w:rPr>
              <w:t>（本列数据的勾稽关系为：第一项加第二项之和，等于第三项加第四项之和）</w:t>
            </w:r>
          </w:p>
        </w:tc>
        <w:tc>
          <w:tcPr>
            <w:tcW w:w="4711"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037"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73"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自然人</w:t>
            </w:r>
          </w:p>
        </w:tc>
        <w:tc>
          <w:tcPr>
            <w:tcW w:w="336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法人或其他组织</w:t>
            </w:r>
          </w:p>
        </w:tc>
        <w:tc>
          <w:tcPr>
            <w:tcW w:w="673"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037"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73"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c>
          <w:tcPr>
            <w:tcW w:w="67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企业</w:t>
            </w:r>
          </w:p>
        </w:tc>
        <w:tc>
          <w:tcPr>
            <w:tcW w:w="67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机构</w:t>
            </w:r>
          </w:p>
        </w:tc>
        <w:tc>
          <w:tcPr>
            <w:tcW w:w="67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社会公益组织</w:t>
            </w:r>
          </w:p>
        </w:tc>
        <w:tc>
          <w:tcPr>
            <w:tcW w:w="67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法律服务机构</w:t>
            </w:r>
          </w:p>
        </w:tc>
        <w:tc>
          <w:tcPr>
            <w:tcW w:w="67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其他</w:t>
            </w:r>
          </w:p>
        </w:tc>
        <w:tc>
          <w:tcPr>
            <w:tcW w:w="67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037" w:type="dxa"/>
            <w:gridSpan w:val="3"/>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一、本年新收政府信息公开申请数量</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037" w:type="dxa"/>
            <w:gridSpan w:val="3"/>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二、上年结转政府信息公开申请数量</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三、本年度办理结果</w:t>
            </w:r>
          </w:p>
        </w:tc>
        <w:tc>
          <w:tcPr>
            <w:tcW w:w="4285" w:type="dxa"/>
            <w:gridSpan w:val="2"/>
            <w:tcBorders>
              <w:top w:val="nil"/>
              <w:left w:val="nil"/>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 （一）予以公开</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4285" w:type="dxa"/>
            <w:gridSpan w:val="2"/>
            <w:tcBorders>
              <w:top w:val="nil"/>
              <w:left w:val="nil"/>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 （二）部分公开（区分处理的，只计这一情形，不计其他情形）</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05"/>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不予公开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 1.</w:t>
            </w:r>
            <w:r>
              <w:rPr>
                <w:rFonts w:hint="eastAsia" w:ascii="宋体" w:hAnsi="宋体" w:eastAsia="宋体" w:cs="宋体"/>
                <w:i w:val="0"/>
                <w:iCs w:val="0"/>
                <w:color w:val="505050"/>
                <w:kern w:val="0"/>
                <w:sz w:val="24"/>
                <w:szCs w:val="24"/>
                <w:u w:val="none"/>
                <w:vertAlign w:val="baseline"/>
                <w:lang w:val="en-US" w:eastAsia="zh-CN" w:bidi="ar"/>
              </w:rPr>
              <w:t>属于国家秘密</w:t>
            </w:r>
            <w:r>
              <w:rPr>
                <w:rFonts w:hint="default" w:ascii="宋体" w:hAnsi="宋体" w:eastAsia="宋体" w:cs="宋体"/>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c>
          <w:tcPr>
            <w:tcW w:w="673"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 2.</w:t>
            </w:r>
            <w:r>
              <w:rPr>
                <w:rFonts w:hint="eastAsia" w:ascii="宋体" w:hAnsi="宋体" w:eastAsia="宋体" w:cs="宋体"/>
                <w:i w:val="0"/>
                <w:iCs w:val="0"/>
                <w:color w:val="505050"/>
                <w:kern w:val="0"/>
                <w:sz w:val="24"/>
                <w:szCs w:val="24"/>
                <w:u w:val="none"/>
                <w:vertAlign w:val="baseline"/>
                <w:lang w:val="en-US" w:eastAsia="zh-CN" w:bidi="ar"/>
              </w:rPr>
              <w:t>其他法律行政法规禁止公开</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3.</w:t>
            </w:r>
            <w:r>
              <w:rPr>
                <w:rFonts w:hint="eastAsia" w:ascii="宋体" w:hAnsi="宋体" w:eastAsia="宋体" w:cs="宋体"/>
                <w:i w:val="0"/>
                <w:iCs w:val="0"/>
                <w:color w:val="505050"/>
                <w:kern w:val="0"/>
                <w:sz w:val="24"/>
                <w:szCs w:val="24"/>
                <w:u w:val="none"/>
                <w:vertAlign w:val="baseline"/>
                <w:lang w:val="en-US" w:eastAsia="zh-CN" w:bidi="ar"/>
              </w:rPr>
              <w:t>危及</w:t>
            </w:r>
            <w:r>
              <w:rPr>
                <w:rFonts w:hint="default" w:ascii="宋体" w:hAnsi="宋体" w:eastAsia="宋体" w:cs="宋体"/>
                <w:i w:val="0"/>
                <w:iCs w:val="0"/>
                <w:color w:val="505050"/>
                <w:kern w:val="0"/>
                <w:sz w:val="24"/>
                <w:szCs w:val="24"/>
                <w:u w:val="none"/>
                <w:vertAlign w:val="baseline"/>
                <w:lang w:val="en-US" w:eastAsia="zh-CN" w:bidi="ar"/>
              </w:rPr>
              <w:t>“</w:t>
            </w:r>
            <w:r>
              <w:rPr>
                <w:rFonts w:hint="eastAsia" w:ascii="宋体" w:hAnsi="宋体" w:eastAsia="宋体" w:cs="宋体"/>
                <w:i w:val="0"/>
                <w:iCs w:val="0"/>
                <w:color w:val="505050"/>
                <w:kern w:val="0"/>
                <w:sz w:val="24"/>
                <w:szCs w:val="24"/>
                <w:u w:val="none"/>
                <w:vertAlign w:val="baseline"/>
                <w:lang w:val="en-US" w:eastAsia="zh-CN" w:bidi="ar"/>
              </w:rPr>
              <w:t>三安全一稳定</w:t>
            </w:r>
            <w:r>
              <w:rPr>
                <w:rFonts w:hint="default" w:ascii="宋体" w:hAnsi="宋体" w:eastAsia="宋体" w:cs="宋体"/>
                <w:i w:val="0"/>
                <w:iCs w:val="0"/>
                <w:color w:val="505050"/>
                <w:kern w:val="0"/>
                <w:sz w:val="24"/>
                <w:szCs w:val="24"/>
                <w:u w:val="none"/>
                <w:vertAlign w:val="baseline"/>
                <w:lang w:val="en-US" w:eastAsia="zh-CN" w:bidi="ar"/>
              </w:rPr>
              <w:t>”</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 4.</w:t>
            </w:r>
            <w:r>
              <w:rPr>
                <w:rFonts w:hint="eastAsia" w:ascii="宋体" w:hAnsi="宋体" w:eastAsia="宋体" w:cs="宋体"/>
                <w:i w:val="0"/>
                <w:iCs w:val="0"/>
                <w:color w:val="505050"/>
                <w:kern w:val="0"/>
                <w:sz w:val="24"/>
                <w:szCs w:val="24"/>
                <w:u w:val="none"/>
                <w:vertAlign w:val="baseline"/>
                <w:lang w:val="en-US" w:eastAsia="zh-CN" w:bidi="ar"/>
              </w:rPr>
              <w:t>保护第三方合法权益</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 5.</w:t>
            </w:r>
            <w:r>
              <w:rPr>
                <w:rFonts w:hint="eastAsia" w:ascii="宋体" w:hAnsi="宋体" w:eastAsia="宋体" w:cs="宋体"/>
                <w:i w:val="0"/>
                <w:iCs w:val="0"/>
                <w:color w:val="505050"/>
                <w:kern w:val="0"/>
                <w:sz w:val="24"/>
                <w:szCs w:val="24"/>
                <w:u w:val="none"/>
                <w:vertAlign w:val="baseline"/>
                <w:lang w:val="en-US" w:eastAsia="zh-CN" w:bidi="ar"/>
              </w:rPr>
              <w:t>属于三类内部事务信息</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 6.</w:t>
            </w:r>
            <w:r>
              <w:rPr>
                <w:rFonts w:hint="eastAsia" w:ascii="宋体" w:hAnsi="宋体" w:eastAsia="宋体" w:cs="宋体"/>
                <w:i w:val="0"/>
                <w:iCs w:val="0"/>
                <w:color w:val="505050"/>
                <w:kern w:val="0"/>
                <w:sz w:val="24"/>
                <w:szCs w:val="24"/>
                <w:u w:val="none"/>
                <w:vertAlign w:val="baseline"/>
                <w:lang w:val="en-US" w:eastAsia="zh-CN" w:bidi="ar"/>
              </w:rPr>
              <w:t>属于四类过程性信息</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 7.</w:t>
            </w:r>
            <w:r>
              <w:rPr>
                <w:rFonts w:hint="eastAsia" w:ascii="宋体" w:hAnsi="宋体" w:eastAsia="宋体" w:cs="宋体"/>
                <w:i w:val="0"/>
                <w:iCs w:val="0"/>
                <w:color w:val="505050"/>
                <w:kern w:val="0"/>
                <w:sz w:val="24"/>
                <w:szCs w:val="24"/>
                <w:u w:val="none"/>
                <w:vertAlign w:val="baseline"/>
                <w:lang w:val="en-US" w:eastAsia="zh-CN" w:bidi="ar"/>
              </w:rPr>
              <w:t>属于行政执法案卷</w:t>
            </w:r>
            <w:r>
              <w:rPr>
                <w:rFonts w:hint="default" w:ascii="宋体" w:hAnsi="宋体" w:eastAsia="宋体" w:cs="宋体"/>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 8.</w:t>
            </w:r>
            <w:r>
              <w:rPr>
                <w:rFonts w:hint="eastAsia" w:ascii="宋体" w:hAnsi="宋体" w:eastAsia="宋体" w:cs="宋体"/>
                <w:i w:val="0"/>
                <w:iCs w:val="0"/>
                <w:color w:val="505050"/>
                <w:kern w:val="0"/>
                <w:sz w:val="24"/>
                <w:szCs w:val="24"/>
                <w:u w:val="none"/>
                <w:vertAlign w:val="baseline"/>
                <w:lang w:val="en-US" w:eastAsia="zh-CN" w:bidi="ar"/>
              </w:rPr>
              <w:t>属于行政查询事项</w:t>
            </w:r>
            <w:r>
              <w:rPr>
                <w:rFonts w:hint="default" w:ascii="宋体" w:hAnsi="宋体" w:eastAsia="宋体" w:cs="宋体"/>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无法提供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 1.</w:t>
            </w:r>
            <w:r>
              <w:rPr>
                <w:rFonts w:hint="eastAsia" w:ascii="宋体" w:hAnsi="宋体" w:eastAsia="宋体" w:cs="宋体"/>
                <w:i w:val="0"/>
                <w:iCs w:val="0"/>
                <w:color w:val="505050"/>
                <w:kern w:val="0"/>
                <w:sz w:val="24"/>
                <w:szCs w:val="24"/>
                <w:u w:val="none"/>
                <w:vertAlign w:val="baseline"/>
                <w:lang w:val="en-US" w:eastAsia="zh-CN" w:bidi="ar"/>
              </w:rPr>
              <w:t>本机关不掌握相关政府信息</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 2.</w:t>
            </w:r>
            <w:r>
              <w:rPr>
                <w:rFonts w:hint="eastAsia" w:ascii="宋体" w:hAnsi="宋体" w:eastAsia="宋体" w:cs="宋体"/>
                <w:i w:val="0"/>
                <w:iCs w:val="0"/>
                <w:color w:val="505050"/>
                <w:kern w:val="0"/>
                <w:sz w:val="24"/>
                <w:szCs w:val="24"/>
                <w:u w:val="none"/>
                <w:vertAlign w:val="baseline"/>
                <w:lang w:val="en-US" w:eastAsia="zh-CN" w:bidi="ar"/>
              </w:rPr>
              <w:t>没有现成信息需要另行制作</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 3.</w:t>
            </w:r>
            <w:r>
              <w:rPr>
                <w:rFonts w:hint="eastAsia" w:ascii="宋体" w:hAnsi="宋体" w:eastAsia="宋体" w:cs="宋体"/>
                <w:i w:val="0"/>
                <w:iCs w:val="0"/>
                <w:color w:val="505050"/>
                <w:kern w:val="0"/>
                <w:sz w:val="24"/>
                <w:szCs w:val="24"/>
                <w:u w:val="none"/>
                <w:vertAlign w:val="baseline"/>
                <w:lang w:val="en-US" w:eastAsia="zh-CN" w:bidi="ar"/>
              </w:rPr>
              <w:t>补正后申请内容仍不明确</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105"/>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不予处理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 1.</w:t>
            </w:r>
            <w:r>
              <w:rPr>
                <w:rFonts w:hint="eastAsia" w:ascii="宋体" w:hAnsi="宋体" w:eastAsia="宋体" w:cs="宋体"/>
                <w:i w:val="0"/>
                <w:iCs w:val="0"/>
                <w:color w:val="505050"/>
                <w:kern w:val="0"/>
                <w:sz w:val="24"/>
                <w:szCs w:val="24"/>
                <w:u w:val="none"/>
                <w:vertAlign w:val="baseline"/>
                <w:lang w:val="en-US" w:eastAsia="zh-CN" w:bidi="ar"/>
              </w:rPr>
              <w:t>信访举报投诉类申请</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2.</w:t>
            </w:r>
            <w:r>
              <w:rPr>
                <w:rFonts w:hint="eastAsia" w:ascii="宋体" w:hAnsi="宋体" w:eastAsia="宋体" w:cs="宋体"/>
                <w:i w:val="0"/>
                <w:iCs w:val="0"/>
                <w:color w:val="505050"/>
                <w:kern w:val="0"/>
                <w:sz w:val="24"/>
                <w:szCs w:val="24"/>
                <w:u w:val="none"/>
                <w:vertAlign w:val="baseline"/>
                <w:lang w:val="en-US" w:eastAsia="zh-CN" w:bidi="ar"/>
              </w:rPr>
              <w:t>重复申请</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 3.</w:t>
            </w:r>
            <w:r>
              <w:rPr>
                <w:rFonts w:hint="eastAsia" w:ascii="宋体" w:hAnsi="宋体" w:eastAsia="宋体" w:cs="宋体"/>
                <w:i w:val="0"/>
                <w:iCs w:val="0"/>
                <w:color w:val="505050"/>
                <w:kern w:val="0"/>
                <w:sz w:val="24"/>
                <w:szCs w:val="24"/>
                <w:u w:val="none"/>
                <w:vertAlign w:val="baseline"/>
                <w:lang w:val="en-US" w:eastAsia="zh-CN" w:bidi="ar"/>
              </w:rPr>
              <w:t>要求提供公开出版物</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 4.</w:t>
            </w:r>
            <w:r>
              <w:rPr>
                <w:rFonts w:hint="eastAsia" w:ascii="宋体" w:hAnsi="宋体" w:eastAsia="宋体" w:cs="宋体"/>
                <w:i w:val="0"/>
                <w:iCs w:val="0"/>
                <w:color w:val="505050"/>
                <w:kern w:val="0"/>
                <w:sz w:val="24"/>
                <w:szCs w:val="24"/>
                <w:u w:val="none"/>
                <w:vertAlign w:val="baseline"/>
                <w:lang w:val="en-US" w:eastAsia="zh-CN" w:bidi="ar"/>
              </w:rPr>
              <w:t>无正当理由大量反复申请</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9" w:hRule="atLeast"/>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114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p>
        </w:tc>
        <w:tc>
          <w:tcPr>
            <w:tcW w:w="3136"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5.</w:t>
            </w:r>
            <w:r>
              <w:rPr>
                <w:rFonts w:hint="eastAsia" w:ascii="宋体" w:hAnsi="宋体" w:eastAsia="宋体" w:cs="宋体"/>
                <w:i w:val="0"/>
                <w:iCs w:val="0"/>
                <w:color w:val="505050"/>
                <w:kern w:val="0"/>
                <w:sz w:val="24"/>
                <w:szCs w:val="24"/>
                <w:u w:val="none"/>
                <w:vertAlign w:val="baseline"/>
                <w:lang w:val="en-US" w:eastAsia="zh-CN" w:bidi="ar"/>
              </w:rPr>
              <w:t>要求行政机关确认或重新出具已获取信息</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c>
          <w:tcPr>
            <w:tcW w:w="673" w:type="dxa"/>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4285" w:type="dxa"/>
            <w:gridSpan w:val="2"/>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 （六）其他处理</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rFonts w:hint="default"/>
                <w:i w:val="0"/>
                <w:iCs w:val="0"/>
                <w:color w:val="505050"/>
                <w:u w:val="none"/>
                <w:lang w:val="en-US"/>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eastAsia" w:ascii="Calibri" w:hAnsi="Calibri" w:cs="Calibri"/>
                <w:i w:val="0"/>
                <w:iCs w:val="0"/>
                <w:color w:val="505050"/>
                <w:kern w:val="0"/>
                <w:sz w:val="24"/>
                <w:szCs w:val="24"/>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52"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0" w:type="dxa"/>
              <w:bottom w:w="0" w:type="dxa"/>
              <w:right w:w="0" w:type="dxa"/>
            </w:tcMar>
            <w:vAlign w:val="top"/>
          </w:tcPr>
          <w:p>
            <w:pPr>
              <w:rPr>
                <w:rFonts w:hint="eastAsia" w:ascii="宋体"/>
                <w:sz w:val="24"/>
                <w:szCs w:val="24"/>
                <w:vertAlign w:val="baseline"/>
              </w:rPr>
            </w:pPr>
          </w:p>
        </w:tc>
        <w:tc>
          <w:tcPr>
            <w:tcW w:w="4285" w:type="dxa"/>
            <w:gridSpan w:val="2"/>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rFonts w:hint="eastAsia" w:ascii="宋体" w:hAnsi="宋体" w:eastAsia="宋体" w:cs="宋体"/>
                <w:i w:val="0"/>
                <w:iCs w:val="0"/>
                <w:color w:val="505050"/>
                <w:kern w:val="0"/>
                <w:sz w:val="24"/>
                <w:szCs w:val="24"/>
                <w:u w:val="none"/>
                <w:vertAlign w:val="baseline"/>
                <w:lang w:val="en-US" w:eastAsia="zh-CN" w:bidi="ar"/>
              </w:rPr>
            </w:pPr>
            <w:r>
              <w:rPr>
                <w:rFonts w:hint="default" w:ascii="宋体" w:hAnsi="宋体" w:eastAsia="宋体" w:cs="宋体"/>
                <w:i w:val="0"/>
                <w:iCs w:val="0"/>
                <w:color w:val="505050"/>
                <w:kern w:val="0"/>
                <w:sz w:val="24"/>
                <w:szCs w:val="24"/>
                <w:u w:val="none"/>
                <w:vertAlign w:val="baseline"/>
                <w:lang w:val="en-US" w:eastAsia="zh-CN" w:bidi="ar"/>
              </w:rPr>
              <w:t>（七）总计</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Calibri" w:hAnsi="Calibri" w:cs="Calibri"/>
                <w:i w:val="0"/>
                <w:iCs w:val="0"/>
                <w:color w:val="505050"/>
                <w:kern w:val="0"/>
                <w:sz w:val="24"/>
                <w:szCs w:val="24"/>
                <w:u w:val="none"/>
                <w:vertAlign w:val="baseline"/>
                <w:lang w:val="en-US" w:eastAsia="zh-CN" w:bidi="ar"/>
              </w:rPr>
              <w:t>0</w:t>
            </w:r>
            <w:r>
              <w:rPr>
                <w:rFonts w:hint="default" w:ascii="Calibri" w:hAnsi="Calibri" w:cs="Calibri" w:eastAsiaTheme="minorEastAsia"/>
                <w:i w:val="0"/>
                <w:iCs w:val="0"/>
                <w:color w:val="505050"/>
                <w:kern w:val="0"/>
                <w:sz w:val="24"/>
                <w:szCs w:val="24"/>
                <w:u w:val="none"/>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037" w:type="dxa"/>
            <w:gridSpan w:val="3"/>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四、结转下年度继续办理</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7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jc w:val="left"/>
        <w:textAlignment w:val="baseline"/>
        <w:rPr>
          <w:rFonts w:hint="eastAsia" w:ascii="微软雅黑" w:hAnsi="微软雅黑" w:eastAsia="微软雅黑" w:cs="微软雅黑"/>
          <w:i w:val="0"/>
          <w:iCs w:val="0"/>
          <w:caps w:val="0"/>
          <w:color w:val="333333"/>
          <w:spacing w:val="0"/>
          <w:sz w:val="26"/>
          <w:szCs w:val="26"/>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jc w:val="left"/>
        <w:textAlignment w:val="baseline"/>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i w:val="0"/>
          <w:iCs w:val="0"/>
          <w:caps w:val="0"/>
          <w:color w:val="333333"/>
          <w:spacing w:val="0"/>
          <w:kern w:val="0"/>
          <w:sz w:val="24"/>
          <w:szCs w:val="24"/>
          <w:u w:val="none"/>
          <w:shd w:val="clear" w:fill="FFFFFF"/>
          <w:vertAlign w:val="baseline"/>
          <w:lang w:val="en-US" w:eastAsia="zh-CN" w:bidi="ar"/>
        </w:rPr>
        <w:t> </w:t>
      </w:r>
    </w:p>
    <w:tbl>
      <w:tblPr>
        <w:tblStyle w:val="3"/>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结果</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其他</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尚未</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vertAlign w:val="baseline"/>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结果</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结果</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其他</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尚未</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结果</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结果</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其他</w:t>
            </w:r>
            <w:r>
              <w:rPr>
                <w:rFonts w:hint="eastAsia" w:ascii="宋体" w:hAnsi="宋体" w:eastAsia="宋体" w:cs="宋体"/>
                <w:i w:val="0"/>
                <w:iCs w:val="0"/>
                <w:color w:val="000000"/>
                <w:kern w:val="0"/>
                <w:sz w:val="24"/>
                <w:szCs w:val="24"/>
                <w:u w:val="none"/>
                <w:vertAlign w:val="baseline"/>
                <w:lang w:val="en-US" w:eastAsia="zh-CN" w:bidi="ar"/>
              </w:rPr>
              <w:br w:type="textWrapping"/>
            </w:r>
            <w:r>
              <w:rPr>
                <w:rFonts w:hint="eastAsia" w:ascii="宋体" w:hAnsi="宋体" w:eastAsia="宋体" w:cs="宋体"/>
                <w:i w:val="0"/>
                <w:iCs w:val="0"/>
                <w:color w:val="000000"/>
                <w:kern w:val="0"/>
                <w:sz w:val="24"/>
                <w:szCs w:val="24"/>
                <w:u w:val="none"/>
                <w:vertAlign w:val="baseline"/>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505050"/>
                <w:kern w:val="0"/>
                <w:sz w:val="24"/>
                <w:szCs w:val="24"/>
                <w:u w:val="none"/>
                <w:vertAlign w:val="baseline"/>
                <w:lang w:val="en-US" w:eastAsia="zh-CN" w:bidi="ar"/>
              </w:rPr>
              <w:t>尚未</w:t>
            </w:r>
            <w:r>
              <w:rPr>
                <w:rFonts w:hint="eastAsia" w:ascii="宋体" w:hAnsi="宋体" w:eastAsia="宋体" w:cs="宋体"/>
                <w:i w:val="0"/>
                <w:iCs w:val="0"/>
                <w:color w:val="505050"/>
                <w:kern w:val="0"/>
                <w:sz w:val="24"/>
                <w:szCs w:val="24"/>
                <w:u w:val="none"/>
                <w:vertAlign w:val="baseline"/>
                <w:lang w:val="en-US" w:eastAsia="zh-CN" w:bidi="ar"/>
              </w:rPr>
              <w:br w:type="textWrapping"/>
            </w:r>
            <w:r>
              <w:rPr>
                <w:rFonts w:hint="eastAsia" w:ascii="宋体" w:hAnsi="宋体" w:eastAsia="宋体" w:cs="宋体"/>
                <w:i w:val="0"/>
                <w:iCs w:val="0"/>
                <w:color w:val="505050"/>
                <w:kern w:val="0"/>
                <w:sz w:val="24"/>
                <w:szCs w:val="24"/>
                <w:u w:val="none"/>
                <w:vertAlign w:val="baseline"/>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eastAsia" w:ascii="宋体" w:hAnsi="宋体" w:eastAsia="宋体" w:cs="宋体"/>
                <w:i w:val="0"/>
                <w:iCs w:val="0"/>
                <w:color w:val="000000"/>
                <w:kern w:val="0"/>
                <w:sz w:val="24"/>
                <w:szCs w:val="24"/>
                <w:u w:val="none"/>
                <w:vertAlign w:val="baseli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textAlignment w:val="baseline"/>
              <w:rPr>
                <w:i w:val="0"/>
                <w:iCs w:val="0"/>
                <w:color w:val="505050"/>
                <w:u w:val="none"/>
              </w:rPr>
            </w:pPr>
            <w:r>
              <w:rPr>
                <w:rFonts w:hint="default" w:ascii="Calibri" w:hAnsi="Calibri" w:cs="Calibri" w:eastAsiaTheme="minorEastAsia"/>
                <w:i w:val="0"/>
                <w:iCs w:val="0"/>
                <w:color w:val="505050"/>
                <w:kern w:val="0"/>
                <w:sz w:val="24"/>
                <w:szCs w:val="24"/>
                <w:u w:val="none"/>
                <w:vertAlign w:val="baseline"/>
                <w:lang w:val="en-US" w:eastAsia="zh-CN" w:bidi="ar"/>
              </w:rPr>
              <w:t> </w:t>
            </w:r>
            <w:r>
              <w:rPr>
                <w:rFonts w:hint="default" w:ascii="Calibri" w:hAnsi="Calibri" w:eastAsia="宋体" w:cs="Calibri"/>
                <w:i w:val="0"/>
                <w:iCs w:val="0"/>
                <w:color w:val="505050"/>
                <w:kern w:val="0"/>
                <w:sz w:val="24"/>
                <w:szCs w:val="24"/>
                <w:u w:val="none"/>
                <w:vertAlign w:val="baseline"/>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textAlignment w:val="baseline"/>
        <w:rPr>
          <w:rFonts w:hint="eastAsia" w:ascii="微软雅黑" w:hAnsi="微软雅黑" w:eastAsia="微软雅黑" w:cs="微软雅黑"/>
          <w:i w:val="0"/>
          <w:iCs w:val="0"/>
          <w:caps w:val="0"/>
          <w:color w:val="333333"/>
          <w:spacing w:val="0"/>
          <w:sz w:val="26"/>
          <w:szCs w:val="26"/>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textAlignment w:val="baseline"/>
        <w:rPr>
          <w:rFonts w:hint="eastAsia" w:ascii="微软雅黑" w:hAnsi="微软雅黑" w:eastAsia="微软雅黑" w:cs="微软雅黑"/>
          <w:i w:val="0"/>
          <w:iCs w:val="0"/>
          <w:caps w:val="0"/>
          <w:color w:val="333333"/>
          <w:spacing w:val="0"/>
          <w:sz w:val="26"/>
          <w:szCs w:val="26"/>
          <w:u w:val="none"/>
        </w:rPr>
      </w:pPr>
      <w:r>
        <w:rPr>
          <w:rFonts w:hint="eastAsia" w:ascii="宋体" w:hAnsi="宋体" w:eastAsia="宋体" w:cs="宋体"/>
          <w:b/>
          <w:bCs/>
          <w:i w:val="0"/>
          <w:iCs w:val="0"/>
          <w:caps w:val="0"/>
          <w:color w:val="333333"/>
          <w:spacing w:val="0"/>
          <w:kern w:val="0"/>
          <w:sz w:val="32"/>
          <w:szCs w:val="32"/>
          <w:u w:val="none"/>
          <w:shd w:val="clear" w:fill="FFFFFF"/>
          <w:vertAlign w:val="baseline"/>
          <w:lang w:val="en-US" w:eastAsia="zh-CN" w:bidi="ar"/>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420"/>
        <w:jc w:val="left"/>
        <w:textAlignment w:val="baseline"/>
        <w:rPr>
          <w:rFonts w:hint="eastAsia" w:ascii="宋体" w:hAnsi="宋体" w:eastAsia="微软雅黑" w:cs="宋体"/>
          <w:i w:val="0"/>
          <w:iCs w:val="0"/>
          <w:caps w:val="0"/>
          <w:color w:val="333333"/>
          <w:spacing w:val="0"/>
          <w:sz w:val="26"/>
          <w:szCs w:val="26"/>
          <w:u w:val="none"/>
          <w:lang w:val="en-US" w:eastAsia="zh-CN"/>
        </w:rPr>
      </w:pPr>
      <w:r>
        <w:rPr>
          <w:rFonts w:hint="eastAsia" w:ascii="微软雅黑" w:hAnsi="微软雅黑" w:eastAsia="微软雅黑" w:cs="微软雅黑"/>
          <w:i w:val="0"/>
          <w:iCs w:val="0"/>
          <w:caps w:val="0"/>
          <w:color w:val="333333"/>
          <w:spacing w:val="0"/>
          <w:sz w:val="24"/>
          <w:szCs w:val="24"/>
          <w:u w:val="none"/>
          <w:shd w:val="clear" w:fill="FFFFFF"/>
          <w:vertAlign w:val="baseline"/>
        </w:rPr>
        <w:t>202</w:t>
      </w:r>
      <w:r>
        <w:rPr>
          <w:rFonts w:hint="eastAsia" w:ascii="微软雅黑" w:hAnsi="微软雅黑" w:eastAsia="微软雅黑" w:cs="微软雅黑"/>
          <w:i w:val="0"/>
          <w:iCs w:val="0"/>
          <w:caps w:val="0"/>
          <w:color w:val="333333"/>
          <w:spacing w:val="0"/>
          <w:sz w:val="24"/>
          <w:szCs w:val="24"/>
          <w:u w:val="none"/>
          <w:shd w:val="clear" w:fill="FFFFFF"/>
          <w:vertAlign w:val="baseline"/>
          <w:lang w:val="en-US" w:eastAsia="zh-CN"/>
        </w:rPr>
        <w:t>3</w:t>
      </w:r>
      <w:r>
        <w:rPr>
          <w:rFonts w:hint="eastAsia" w:ascii="微软雅黑" w:hAnsi="微软雅黑" w:eastAsia="微软雅黑" w:cs="微软雅黑"/>
          <w:i w:val="0"/>
          <w:iCs w:val="0"/>
          <w:caps w:val="0"/>
          <w:color w:val="333333"/>
          <w:spacing w:val="0"/>
          <w:sz w:val="24"/>
          <w:szCs w:val="24"/>
          <w:u w:val="none"/>
          <w:shd w:val="clear" w:fill="FFFFFF"/>
          <w:vertAlign w:val="baseline"/>
        </w:rPr>
        <w:t>年，我局在推进政府信息公开方面取得了新的进展，但仍然存在一些问题和不足，一是主动公开信息数量偏少；二是网上信息更新速度需进一步加快；在今后的工作中，我局将不断完善政务公开工作制度，进一步加大政务公开工作力度，完善政务公开工作的激励、竞争机制，促进政务公开工作走上制度化、规范化的轨道。利用微信公众号、微博等多种方式、多种途径对政务公开、宣传，</w:t>
      </w:r>
      <w:bookmarkStart w:id="0" w:name="_GoBack"/>
      <w:bookmarkEnd w:id="0"/>
      <w:r>
        <w:rPr>
          <w:rFonts w:hint="eastAsia" w:ascii="微软雅黑" w:hAnsi="微软雅黑" w:eastAsia="微软雅黑" w:cs="微软雅黑"/>
          <w:i w:val="0"/>
          <w:iCs w:val="0"/>
          <w:caps w:val="0"/>
          <w:color w:val="333333"/>
          <w:spacing w:val="0"/>
          <w:sz w:val="24"/>
          <w:szCs w:val="24"/>
          <w:u w:val="none"/>
          <w:shd w:val="clear" w:fill="FFFFFF"/>
          <w:vertAlign w:val="baseline"/>
        </w:rPr>
        <w:t>让民众了解政策有方法、查阅信息有去处。不断完善政府信息公开的内容审查和更新维护等工作制度，深入、持续、高效地开展政府信息公开工作。按照“公开为原则，不公开为例外”的总体要求，加强对信息公开工作的组织领导，完善相关制度和工作流程,确保信息公开工作能按照既定的工作流程有效运作，能方便群众查询，增强公开的及时性、准确性、权威性和有效性</w:t>
      </w:r>
      <w:r>
        <w:rPr>
          <w:rFonts w:hint="eastAsia" w:ascii="微软雅黑" w:hAnsi="微软雅黑" w:eastAsia="微软雅黑" w:cs="微软雅黑"/>
          <w:i w:val="0"/>
          <w:iCs w:val="0"/>
          <w:caps w:val="0"/>
          <w:color w:val="333333"/>
          <w:spacing w:val="0"/>
          <w:sz w:val="24"/>
          <w:szCs w:val="24"/>
          <w:u w:val="none"/>
          <w:shd w:val="clear" w:fill="FFFFFF"/>
          <w:vertAlign w:val="baseline"/>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ascii="黑体" w:hAnsi="宋体" w:eastAsia="黑体" w:cs="黑体"/>
          <w:i w:val="0"/>
          <w:iCs w:val="0"/>
          <w:caps w:val="0"/>
          <w:color w:val="333333"/>
          <w:spacing w:val="0"/>
          <w:sz w:val="31"/>
          <w:szCs w:val="31"/>
          <w:u w:val="none"/>
          <w:shd w:val="clear" w:fill="FFFFFF"/>
          <w:vertAlign w:val="baseline"/>
        </w:rPr>
        <w:t>六</w:t>
      </w:r>
      <w:r>
        <w:rPr>
          <w:rFonts w:hint="eastAsia" w:ascii="黑体" w:hAnsi="宋体" w:eastAsia="黑体" w:cs="黑体"/>
          <w:i w:val="0"/>
          <w:iCs w:val="0"/>
          <w:caps w:val="0"/>
          <w:color w:val="333333"/>
          <w:spacing w:val="0"/>
          <w:sz w:val="31"/>
          <w:szCs w:val="31"/>
          <w:u w:val="none"/>
          <w:shd w:val="clear" w:fill="FFFFFF"/>
          <w:vertAlign w:val="baseline"/>
        </w:rPr>
        <w:t>、其他需要报告的事项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宋体" w:hAnsi="宋体" w:eastAsia="宋体" w:cs="宋体"/>
          <w:i w:val="0"/>
          <w:iCs w:val="0"/>
          <w:caps w:val="0"/>
          <w:color w:val="505050"/>
          <w:spacing w:val="0"/>
          <w:sz w:val="18"/>
          <w:szCs w:val="18"/>
          <w:u w:val="none"/>
        </w:rPr>
      </w:pPr>
      <w:r>
        <w:rPr>
          <w:rFonts w:hint="eastAsia" w:ascii="微软雅黑" w:hAnsi="微软雅黑" w:eastAsia="微软雅黑" w:cs="微软雅黑"/>
          <w:i w:val="0"/>
          <w:iCs w:val="0"/>
          <w:caps w:val="0"/>
          <w:color w:val="333333"/>
          <w:spacing w:val="0"/>
          <w:sz w:val="24"/>
          <w:szCs w:val="24"/>
          <w:u w:val="none"/>
          <w:shd w:val="clear" w:fill="FFFFFF"/>
          <w:vertAlign w:val="baseline"/>
        </w:rPr>
        <w:t>按照《国务院办公厅关于印发〈政府信息公开信息处理费管理办法〉的通知》（国办函〔2020〕109号）规定的按件、按量收费标准，本年度没有产生信息公开处理费。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NDhmODRiNjU4Mzk3NDEwYjIwMzk2ODUxMTk4ZDAifQ=="/>
    <w:docVar w:name="KSO_WPS_MARK_KEY" w:val="0b03548a-1cdb-4aa1-b351-4aba79e8b06f"/>
  </w:docVars>
  <w:rsids>
    <w:rsidRoot w:val="4CAC42EE"/>
    <w:rsid w:val="042042C5"/>
    <w:rsid w:val="0470276F"/>
    <w:rsid w:val="225D3F73"/>
    <w:rsid w:val="4CAC42EE"/>
    <w:rsid w:val="66872FE0"/>
    <w:rsid w:val="730A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2777</Words>
  <Characters>3022</Characters>
  <Lines>0</Lines>
  <Paragraphs>0</Paragraphs>
  <TotalTime>8</TotalTime>
  <ScaleCrop>false</ScaleCrop>
  <LinksUpToDate>false</LinksUpToDate>
  <CharactersWithSpaces>3030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2023-01-18T09:36:00Z</dcterms:created>
  <dc:creator>@</dc:creator>
  <cp:lastModifiedBy>@</cp:lastModifiedBy>
  <dcterms:modified xsi:type="dcterms:W3CDTF">2024-01-16T02:18:31Z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41DBBF57DAA544AEBD3AE21FB13D9A5D</vt:lpwstr>
  </property>
</Properties>
</file>