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会昌县扶贫办政府信息公开工作年度报告</w:t>
      </w:r>
    </w:p>
    <w:p>
      <w:pPr>
        <w:pStyle w:val="3"/>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b/>
          <w:bCs w:val="0"/>
          <w:color w:val="333333"/>
          <w:sz w:val="32"/>
          <w:szCs w:val="32"/>
          <w:shd w:val="clear" w:color="auto" w:fill="FFFFFF"/>
          <w:lang w:eastAsia="zh-CN"/>
        </w:rPr>
      </w:pPr>
    </w:p>
    <w:p>
      <w:pPr>
        <w:pStyle w:val="3"/>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仿宋_GB2312" w:hAnsi="仿宋_GB2312" w:eastAsia="仿宋_GB2312" w:cs="仿宋_GB2312"/>
          <w:b/>
          <w:bCs w:val="0"/>
          <w:color w:val="333333"/>
          <w:sz w:val="32"/>
          <w:szCs w:val="32"/>
          <w:shd w:val="clear" w:color="auto" w:fill="FFFFFF"/>
        </w:rPr>
      </w:pPr>
      <w:r>
        <w:rPr>
          <w:rFonts w:hint="eastAsia" w:ascii="仿宋_GB2312" w:hAnsi="仿宋_GB2312" w:eastAsia="仿宋_GB2312" w:cs="仿宋_GB2312"/>
          <w:b/>
          <w:bCs w:val="0"/>
          <w:color w:val="333333"/>
          <w:sz w:val="32"/>
          <w:szCs w:val="32"/>
          <w:shd w:val="clear" w:color="auto" w:fill="FFFFFF"/>
        </w:rPr>
        <w:t>总体情况</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据《江西省人民政府办公厅关于做好201</w:t>
      </w:r>
      <w:r>
        <w:rPr>
          <w:rFonts w:hint="eastAsia" w:ascii="仿宋" w:hAnsi="仿宋" w:eastAsia="仿宋" w:cs="仿宋"/>
          <w:sz w:val="32"/>
          <w:szCs w:val="32"/>
          <w:lang w:val="en-US" w:eastAsia="zh-CN"/>
        </w:rPr>
        <w:t>9</w:t>
      </w:r>
      <w:r>
        <w:rPr>
          <w:rFonts w:hint="eastAsia" w:ascii="仿宋" w:hAnsi="仿宋" w:eastAsia="仿宋" w:cs="仿宋"/>
          <w:sz w:val="32"/>
          <w:szCs w:val="32"/>
        </w:rPr>
        <w:t>年政府信息公开年度报告及政府网站年度报表编制发布工作的通知》中关于做好政府信息公开年度报告及政府网站年度报表编制发布工作有关规定，会昌县扶贫办就201</w:t>
      </w:r>
      <w:r>
        <w:rPr>
          <w:rFonts w:hint="eastAsia" w:ascii="仿宋" w:hAnsi="仿宋" w:eastAsia="仿宋" w:cs="仿宋"/>
          <w:sz w:val="32"/>
          <w:szCs w:val="32"/>
          <w:lang w:val="en-US" w:eastAsia="zh-CN"/>
        </w:rPr>
        <w:t>9</w:t>
      </w:r>
      <w:r>
        <w:rPr>
          <w:rFonts w:hint="eastAsia" w:ascii="仿宋" w:hAnsi="仿宋" w:eastAsia="仿宋" w:cs="仿宋"/>
          <w:sz w:val="32"/>
          <w:szCs w:val="32"/>
        </w:rPr>
        <w:t>年政府信息公开工作作如下报告：</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进一步强化了工作力量</w:t>
      </w:r>
      <w:r>
        <w:rPr>
          <w:rFonts w:hint="eastAsia" w:ascii="仿宋" w:hAnsi="仿宋" w:eastAsia="仿宋" w:cs="仿宋"/>
          <w:sz w:val="32"/>
          <w:szCs w:val="32"/>
          <w:lang w:eastAsia="zh-CN"/>
        </w:rPr>
        <w:t>。</w:t>
      </w:r>
      <w:r>
        <w:rPr>
          <w:rFonts w:hint="eastAsia" w:ascii="仿宋" w:hAnsi="仿宋" w:eastAsia="仿宋" w:cs="仿宋"/>
          <w:sz w:val="32"/>
          <w:szCs w:val="32"/>
        </w:rPr>
        <w:t>指派专人负责我办政府信息公开工作，明确工作人员职责，具体主要由综合股负责，根据工作进展情况对部分目录信息进行更新完善，其它股室根据其工作职责全力做好配合协助工作。分管领导亲自抓，加强对信息公开工作的指导和监督检查工作，要求全体干部职工认真学习切实贯彻落实《条例》，切实提高我办干部依法公开政府信息的意识和能力。在领导的重视下，先后建立和完善各项工作机制，对全年政府信息公开工作有部署、有检查，按照规定将工作信息与机构职能、相关法律法规、行政许可和非许可事项、政府集中采购目录等内容，经领导审核后在网页上进行公开发布。通过健全和完善各项制度后，促进了我办政府信息公开工作的有序开展。</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（一）政府信息公开的基本情况。我办201</w:t>
      </w:r>
      <w:r>
        <w:rPr>
          <w:rFonts w:hint="eastAsia" w:ascii="仿宋" w:hAnsi="仿宋" w:eastAsia="仿宋" w:cs="仿宋"/>
          <w:sz w:val="32"/>
          <w:szCs w:val="32"/>
          <w:lang w:val="en-US" w:eastAsia="zh-CN"/>
        </w:rPr>
        <w:t>9</w:t>
      </w:r>
      <w:r>
        <w:rPr>
          <w:rFonts w:hint="eastAsia" w:ascii="仿宋" w:hAnsi="仿宋" w:eastAsia="仿宋" w:cs="仿宋"/>
          <w:sz w:val="32"/>
          <w:szCs w:val="32"/>
        </w:rPr>
        <w:t>年主动公开政府信息</w:t>
      </w:r>
      <w:r>
        <w:rPr>
          <w:rFonts w:hint="eastAsia" w:ascii="仿宋" w:hAnsi="仿宋" w:eastAsia="仿宋" w:cs="仿宋"/>
          <w:sz w:val="32"/>
          <w:szCs w:val="32"/>
          <w:lang w:val="en-US" w:eastAsia="zh-CN"/>
        </w:rPr>
        <w:t>870</w:t>
      </w:r>
      <w:bookmarkStart w:id="0" w:name="_GoBack"/>
      <w:bookmarkEnd w:id="0"/>
      <w:r>
        <w:rPr>
          <w:rFonts w:hint="eastAsia" w:ascii="仿宋" w:hAnsi="仿宋" w:eastAsia="仿宋" w:cs="仿宋"/>
          <w:sz w:val="32"/>
          <w:szCs w:val="32"/>
        </w:rPr>
        <w:t>条，公开渠道主要以政府网站公开为主，内容主要为国内扶贫工作动态、项目公示公告、法规文件公布等。</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（二）政府信息公开申请办理情况</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年未接到群众有关政府信息公开申请。</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（三）政府信息公开收费及减免情况</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年不存在政府信息公开收费及减免情况。</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（四）因政府信息公开申请行政复议、提起行政诉讼情况</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年未发生政府信息公开事项的行政复议、提起行政诉讼案件。</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（五）政府信息公开保密审查及监督检查情况</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年，我们按照《中华人民共和国政府信息公开条例》、《保密法》等法律法规的规定，严格审批公开信息，坚决杜绝涉密信息登载，并做到经常性工作定期公开，阶段性工作按时公开</w:t>
      </w:r>
      <w:r>
        <w:rPr>
          <w:rFonts w:hint="eastAsia" w:ascii="仿宋" w:hAnsi="仿宋" w:eastAsia="仿宋" w:cs="仿宋"/>
          <w:sz w:val="32"/>
          <w:szCs w:val="32"/>
          <w:lang w:eastAsia="zh-CN"/>
        </w:rPr>
        <w:t>。</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仿宋_GB2312" w:hAnsi="仿宋_GB2312" w:eastAsia="仿宋_GB2312" w:cs="仿宋_GB2312"/>
          <w:b/>
          <w:bCs w:val="0"/>
          <w:color w:val="333333"/>
          <w:sz w:val="32"/>
          <w:szCs w:val="32"/>
        </w:rPr>
      </w:pPr>
      <w:r>
        <w:rPr>
          <w:rFonts w:hint="eastAsia" w:ascii="仿宋_GB2312" w:hAnsi="仿宋_GB2312" w:eastAsia="仿宋_GB2312" w:cs="仿宋_GB2312"/>
          <w:b/>
          <w:bCs w:val="0"/>
          <w:color w:val="333333"/>
          <w:sz w:val="32"/>
          <w:szCs w:val="32"/>
          <w:shd w:val="clear" w:color="auto" w:fill="FFFFFF"/>
        </w:rPr>
        <w:t>二、主动公开政府信息情况</w:t>
      </w:r>
    </w:p>
    <w:tbl>
      <w:tblPr>
        <w:tblStyle w:val="4"/>
        <w:tblW w:w="8140" w:type="dxa"/>
        <w:jc w:val="center"/>
        <w:shd w:val="clear" w:color="auto" w:fill="FFFFFF" w:themeFill="background1"/>
        <w:tblLayout w:type="fixed"/>
        <w:tblCellMar>
          <w:top w:w="0" w:type="dxa"/>
          <w:left w:w="0" w:type="dxa"/>
          <w:bottom w:w="0" w:type="dxa"/>
          <w:right w:w="0" w:type="dxa"/>
        </w:tblCellMar>
      </w:tblPr>
      <w:tblGrid>
        <w:gridCol w:w="3113"/>
        <w:gridCol w:w="1875"/>
        <w:gridCol w:w="6"/>
        <w:gridCol w:w="1265"/>
        <w:gridCol w:w="1881"/>
      </w:tblGrid>
      <w:tr>
        <w:tblPrEx>
          <w:shd w:val="clear" w:color="auto" w:fill="FFFFFF" w:themeFill="background1"/>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Theme="minorHAnsi" w:hAnsiTheme="minorHAnsi" w:eastAsiaTheme="minorEastAsia" w:cstheme="minorBidi"/>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Theme="minorHAnsi" w:hAnsiTheme="minorHAnsi" w:eastAsiaTheme="minorEastAsia" w:cstheme="minorBidi"/>
                <w:kern w:val="0"/>
                <w:sz w:val="20"/>
                <w:szCs w:val="20"/>
              </w:rPr>
              <w:t>公开数量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lang w:val="en-US" w:eastAsia="zh-CN"/>
              </w:rPr>
            </w:pPr>
            <w:r>
              <w:rPr>
                <w:rFonts w:hint="eastAsia" w:ascii="宋体" w:hAnsi="宋体" w:cs="宋体"/>
                <w:color w:val="000000"/>
                <w:kern w:val="0"/>
                <w:sz w:val="20"/>
                <w:szCs w:val="20"/>
                <w:lang w:val="en-US" w:eastAsia="zh-CN"/>
              </w:rPr>
              <w:t>13</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lang w:val="en-US" w:eastAsia="zh-CN"/>
              </w:rPr>
            </w:pPr>
            <w:r>
              <w:rPr>
                <w:rFonts w:hint="eastAsia" w:ascii="宋体" w:hAnsi="宋体" w:cs="宋体"/>
                <w:color w:val="000000"/>
                <w:kern w:val="0"/>
                <w:sz w:val="20"/>
                <w:szCs w:val="20"/>
                <w:lang w:val="en-US" w:eastAsia="zh-CN"/>
              </w:rPr>
              <w:t>13</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宋体"/>
                <w:lang w:val="en-US" w:eastAsia="zh-CN"/>
              </w:rPr>
            </w:pPr>
            <w:r>
              <w:rPr>
                <w:rFonts w:hint="eastAsia" w:ascii="宋体" w:hAnsi="宋体" w:cs="宋体"/>
                <w:color w:val="000000"/>
                <w:kern w:val="0"/>
                <w:sz w:val="20"/>
                <w:szCs w:val="20"/>
                <w:lang w:val="en-US" w:eastAsia="zh-CN"/>
              </w:rPr>
              <w:t>13</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信息内容</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政府集中采购</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kinsoku/>
              <w:wordWrap/>
              <w:overflowPunct/>
              <w:topLinePunct w:val="0"/>
              <w:autoSpaceDE/>
              <w:autoSpaceDN/>
              <w:bidi w:val="0"/>
              <w:adjustRightInd/>
              <w:snapToGrid/>
              <w:spacing w:line="600" w:lineRule="exact"/>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color w:val="333333"/>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b/>
          <w:color w:val="333333"/>
          <w:shd w:val="clear" w:color="auto" w:fill="FFFFFF"/>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仿宋_GB2312" w:hAnsi="仿宋_GB2312" w:eastAsia="仿宋_GB2312" w:cs="仿宋_GB2312"/>
          <w:b/>
          <w:bCs w:val="0"/>
          <w:color w:val="333333"/>
          <w:sz w:val="32"/>
          <w:szCs w:val="32"/>
        </w:rPr>
      </w:pPr>
      <w:r>
        <w:rPr>
          <w:rFonts w:hint="eastAsia" w:ascii="仿宋_GB2312" w:hAnsi="仿宋_GB2312" w:eastAsia="仿宋_GB2312" w:cs="仿宋_GB2312"/>
          <w:b/>
          <w:bCs w:val="0"/>
          <w:color w:val="333333"/>
          <w:sz w:val="32"/>
          <w:szCs w:val="32"/>
          <w:shd w:val="clear" w:color="auto" w:fill="FFFFFF"/>
        </w:rPr>
        <w:t>三、收到和处理政府信息公开申请情况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（一）予以公开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（二）部分公开（区分处理的，只计这一情形，不计其他情形）</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（三）不予公开</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1.属于国家秘密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2.其他法律行政法规禁止公开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3.危及“三安全一稳定”</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4.保护第三方合法权益</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5.属于三类内部事务信息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default"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6.属于四类过程性信息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宋体"/>
                <w:lang w:val="en-US" w:eastAsia="zh-CN"/>
              </w:rP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7.属于行政执法案卷</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eastAsia="zh-CN"/>
              </w:rPr>
            </w:pPr>
            <w:r>
              <w:rPr>
                <w:rFonts w:hint="eastAsia" w:cs="Calibri" w:eastAsiaTheme="minorEastAsia"/>
                <w:kern w:val="0"/>
                <w:sz w:val="20"/>
                <w:szCs w:val="20"/>
                <w:lang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8.属于行政查询事项</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eastAsia="zh-CN"/>
              </w:rPr>
            </w:pPr>
            <w:r>
              <w:rPr>
                <w:rFonts w:hint="eastAsia" w:cs="Calibri" w:eastAsiaTheme="minorEastAsia"/>
                <w:kern w:val="0"/>
                <w:sz w:val="20"/>
                <w:szCs w:val="20"/>
                <w:lang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（四）无法提供</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1.本机关不掌握相关政府信息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default" w:ascii="Calibri" w:hAnsi="Calibri" w:cs="Calibri" w:eastAsiaTheme="minorEastAsia"/>
                <w:kern w:val="0"/>
                <w:sz w:val="20"/>
                <w:szCs w:val="20"/>
                <w:lang w:val="en-US"/>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lang w:val="en-US"/>
              </w:rPr>
            </w:pPr>
            <w:r>
              <w:rPr>
                <w:rFonts w:hint="eastAsia" w:cs="Calibri" w:eastAsiaTheme="minorEastAsia"/>
                <w:kern w:val="0"/>
                <w:sz w:val="20"/>
                <w:szCs w:val="20"/>
                <w:lang w:val="en-US" w:eastAsia="zh-CN"/>
              </w:rPr>
              <w:t>0</w:t>
            </w:r>
            <w:r>
              <w:rPr>
                <w:rFonts w:hint="default" w:ascii="Calibri" w:hAnsi="Calibri" w:cs="Calibri" w:eastAsiaTheme="minorEastAsia"/>
                <w:kern w:val="0"/>
                <w:sz w:val="20"/>
                <w:szCs w:val="20"/>
                <w:lang w:val="en-US"/>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lang w:val="en-US"/>
              </w:rPr>
            </w:pPr>
            <w:r>
              <w:rPr>
                <w:rFonts w:hint="eastAsia" w:cs="Calibri" w:eastAsiaTheme="minorEastAsia"/>
                <w:kern w:val="0"/>
                <w:sz w:val="20"/>
                <w:szCs w:val="20"/>
                <w:lang w:val="en-US" w:eastAsia="zh-CN"/>
              </w:rPr>
              <w:t>0</w:t>
            </w:r>
            <w:r>
              <w:rPr>
                <w:rFonts w:hint="default" w:ascii="Calibri" w:hAnsi="Calibri" w:cs="Calibri" w:eastAsiaTheme="minorEastAsia"/>
                <w:kern w:val="0"/>
                <w:sz w:val="20"/>
                <w:szCs w:val="20"/>
                <w:lang w:val="en-US"/>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default" w:ascii="Calibri" w:hAnsi="Calibri" w:cs="Calibri" w:eastAsiaTheme="minorEastAsia"/>
                <w:kern w:val="0"/>
                <w:sz w:val="20"/>
                <w:szCs w:val="20"/>
                <w:lang w:val="en-US"/>
              </w:rPr>
              <w:t> </w:t>
            </w: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default" w:ascii="Calibri" w:hAnsi="Calibri" w:cs="Calibri" w:eastAsiaTheme="minorEastAsia"/>
                <w:kern w:val="0"/>
                <w:sz w:val="20"/>
                <w:szCs w:val="20"/>
                <w:lang w:val="en-US"/>
              </w:rPr>
              <w:t> </w:t>
            </w: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default" w:ascii="Calibri" w:hAnsi="Calibri" w:cs="Calibri" w:eastAsiaTheme="minorEastAsia"/>
                <w:kern w:val="0"/>
                <w:sz w:val="20"/>
                <w:szCs w:val="20"/>
                <w:lang w:val="en-US"/>
              </w:rPr>
              <w:t> </w:t>
            </w: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2.没有现成信息需要另行制作</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default" w:ascii="Calibri" w:hAnsi="Calibri" w:cs="Calibri" w:eastAsiaTheme="minorEastAsia"/>
                <w:kern w:val="0"/>
                <w:sz w:val="20"/>
                <w:szCs w:val="20"/>
                <w:lang w:val="en-US"/>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lang w:val="en-US"/>
              </w:rPr>
            </w:pPr>
            <w:r>
              <w:rPr>
                <w:rFonts w:hint="eastAsia" w:cs="Calibri" w:eastAsiaTheme="minorEastAsia"/>
                <w:kern w:val="0"/>
                <w:sz w:val="20"/>
                <w:szCs w:val="20"/>
                <w:lang w:val="en-US" w:eastAsia="zh-CN"/>
              </w:rPr>
              <w:t>0</w:t>
            </w:r>
            <w:r>
              <w:rPr>
                <w:rFonts w:hint="default" w:ascii="Calibri" w:hAnsi="Calibri" w:cs="Calibri" w:eastAsiaTheme="minorEastAsia"/>
                <w:kern w:val="0"/>
                <w:sz w:val="20"/>
                <w:szCs w:val="20"/>
                <w:lang w:val="en-US"/>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default" w:ascii="Calibri" w:hAnsi="Calibri" w:cs="Calibri" w:eastAsiaTheme="minorEastAsia"/>
                <w:kern w:val="0"/>
                <w:sz w:val="20"/>
                <w:szCs w:val="20"/>
                <w:lang w:val="en-US"/>
              </w:rPr>
              <w:t> </w:t>
            </w: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lang w:val="en-US"/>
              </w:rPr>
            </w:pPr>
            <w:r>
              <w:rPr>
                <w:rFonts w:hint="eastAsia" w:cs="Calibri" w:eastAsiaTheme="minorEastAsia"/>
                <w:kern w:val="0"/>
                <w:sz w:val="20"/>
                <w:szCs w:val="20"/>
                <w:lang w:val="en-US" w:eastAsia="zh-CN"/>
              </w:rPr>
              <w:t>0</w:t>
            </w:r>
            <w:r>
              <w:rPr>
                <w:rFonts w:hint="default" w:ascii="Calibri" w:hAnsi="Calibri" w:cs="Calibri" w:eastAsiaTheme="minorEastAsia"/>
                <w:kern w:val="0"/>
                <w:sz w:val="20"/>
                <w:szCs w:val="20"/>
                <w:lang w:val="en-US"/>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（五）不予处理</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ascii="Calibri" w:hAnsi="Calibri" w:cs="Calibri" w:eastAsiaTheme="minorEastAsia"/>
                <w:kern w:val="0"/>
                <w:sz w:val="20"/>
                <w:szCs w:val="20"/>
              </w:rPr>
              <w:t> </w:t>
            </w: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r>
              <w:rPr>
                <w:rFonts w:ascii="Calibri" w:hAnsi="Calibri"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（七）总计</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四、结转下年度继续办理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color w:val="333333"/>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仿宋_GB2312" w:hAnsi="仿宋_GB2312" w:eastAsia="仿宋_GB2312" w:cs="仿宋_GB2312"/>
          <w:b/>
          <w:bCs w:val="0"/>
          <w:color w:val="333333"/>
          <w:sz w:val="32"/>
          <w:szCs w:val="32"/>
          <w:shd w:val="clear" w:color="auto" w:fill="FFFFFF"/>
        </w:rPr>
      </w:pPr>
      <w:r>
        <w:rPr>
          <w:rFonts w:hint="eastAsia" w:ascii="仿宋_GB2312" w:hAnsi="仿宋_GB2312" w:eastAsia="仿宋_GB2312" w:cs="仿宋_GB2312"/>
          <w:b/>
          <w:bCs w:val="0"/>
          <w:color w:val="333333"/>
          <w:sz w:val="32"/>
          <w:szCs w:val="32"/>
          <w:shd w:val="clear" w:color="auto" w:fill="FFFFFF"/>
        </w:rPr>
        <w:t>四、政府信息公开行政复议、行政诉讼情况</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color w:val="333333"/>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cs="Calibri" w:eastAsiaTheme="minorEastAsia"/>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cs="Calibri" w:eastAsiaTheme="minorEastAsia"/>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宋体" w:hAnsi="宋体" w:eastAsia="宋体" w:cs="宋体"/>
          <w:color w:val="333333"/>
          <w:sz w:val="24"/>
          <w:szCs w:val="24"/>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仿宋_GB2312" w:hAnsi="仿宋_GB2312" w:eastAsia="仿宋_GB2312" w:cs="仿宋_GB2312"/>
          <w:b/>
          <w:bCs w:val="0"/>
          <w:color w:val="333333"/>
          <w:sz w:val="32"/>
          <w:szCs w:val="32"/>
        </w:rPr>
      </w:pPr>
      <w:r>
        <w:rPr>
          <w:rFonts w:hint="eastAsia" w:ascii="仿宋_GB2312" w:hAnsi="仿宋_GB2312" w:eastAsia="仿宋_GB2312" w:cs="仿宋_GB2312"/>
          <w:b/>
          <w:bCs w:val="0"/>
          <w:color w:val="333333"/>
          <w:sz w:val="32"/>
          <w:szCs w:val="32"/>
          <w:shd w:val="clear" w:color="auto" w:fill="FFFFFF"/>
        </w:rPr>
        <w:t>五、存在的主要问题及改进情况</w:t>
      </w:r>
    </w:p>
    <w:p>
      <w:pPr>
        <w:pStyle w:val="3"/>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年，我</w:t>
      </w:r>
      <w:r>
        <w:rPr>
          <w:rFonts w:hint="eastAsia" w:ascii="仿宋" w:hAnsi="仿宋" w:eastAsia="仿宋" w:cs="仿宋"/>
          <w:sz w:val="32"/>
          <w:szCs w:val="32"/>
          <w:lang w:val="en-US" w:eastAsia="zh-CN"/>
        </w:rPr>
        <w:t>办在</w:t>
      </w:r>
      <w:r>
        <w:rPr>
          <w:rFonts w:hint="eastAsia" w:ascii="仿宋" w:hAnsi="仿宋" w:eastAsia="仿宋" w:cs="仿宋"/>
          <w:sz w:val="32"/>
          <w:szCs w:val="32"/>
        </w:rPr>
        <w:t>信息公开工作取得了一定的成绩，但是对照上级的要求，也还存在诸多不足和问题。如，应用新政府信息</w:t>
      </w:r>
      <w:r>
        <w:rPr>
          <w:rFonts w:hint="eastAsia" w:ascii="仿宋" w:hAnsi="仿宋" w:eastAsia="仿宋" w:cs="仿宋"/>
          <w:sz w:val="32"/>
          <w:szCs w:val="32"/>
          <w:lang w:val="en-US" w:eastAsia="zh-CN"/>
        </w:rPr>
        <w:t>公开</w:t>
      </w:r>
      <w:r>
        <w:rPr>
          <w:rFonts w:hint="eastAsia" w:ascii="仿宋" w:hAnsi="仿宋" w:eastAsia="仿宋" w:cs="仿宋"/>
          <w:sz w:val="32"/>
          <w:szCs w:val="32"/>
        </w:rPr>
        <w:t>工作水平不高，公开的时效性有待提高。</w:t>
      </w:r>
      <w:r>
        <w:rPr>
          <w:rFonts w:hint="eastAsia" w:ascii="仿宋_GB2312" w:hAnsi="仿宋_GB2312" w:eastAsia="仿宋_GB2312" w:cs="仿宋_GB2312"/>
          <w:sz w:val="32"/>
          <w:szCs w:val="32"/>
        </w:rPr>
        <w:t>被动接受上级检查的多，自觉进行自查的少。</w:t>
      </w:r>
      <w:r>
        <w:rPr>
          <w:rFonts w:hint="eastAsia" w:ascii="仿宋" w:hAnsi="仿宋" w:eastAsia="仿宋" w:cs="仿宋"/>
          <w:sz w:val="32"/>
          <w:szCs w:val="32"/>
        </w:rPr>
        <w:t xml:space="preserve">下一步，我们将从以下几个方面进一步加大政府信息公开工作力度： </w:t>
      </w:r>
    </w:p>
    <w:p>
      <w:pPr>
        <w:pStyle w:val="3"/>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一是进一步拓展公开范围、丰富公开内容、拓宽公开渠道、创新公开办法，规范公开程序和标准，让更多公众和企业了解我</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扶贫</w:t>
      </w:r>
      <w:r>
        <w:rPr>
          <w:rFonts w:hint="eastAsia" w:ascii="仿宋" w:hAnsi="仿宋" w:eastAsia="仿宋" w:cs="仿宋"/>
          <w:sz w:val="32"/>
          <w:szCs w:val="32"/>
          <w:lang w:eastAsia="zh-CN"/>
        </w:rPr>
        <w:t>相关</w:t>
      </w:r>
      <w:r>
        <w:rPr>
          <w:rFonts w:hint="eastAsia" w:ascii="仿宋" w:hAnsi="仿宋" w:eastAsia="仿宋" w:cs="仿宋"/>
          <w:sz w:val="32"/>
          <w:szCs w:val="32"/>
        </w:rPr>
        <w:t xml:space="preserve">信息。 </w:t>
      </w:r>
    </w:p>
    <w:p>
      <w:pPr>
        <w:pStyle w:val="3"/>
        <w:keepNext w:val="0"/>
        <w:keepLines w:val="0"/>
        <w:widowControl/>
        <w:suppressLineNumbers w:val="0"/>
        <w:spacing w:before="0" w:beforeAutospacing="0" w:after="0" w:afterAutospacing="0" w:line="520" w:lineRule="atLeast"/>
        <w:ind w:left="0" w:right="0" w:firstLine="640"/>
        <w:jc w:val="both"/>
        <w:rPr>
          <w:rFonts w:ascii="sans-serif" w:hAnsi="sans-serif" w:eastAsia="sans-serif" w:cs="sans-serif"/>
          <w:sz w:val="19"/>
          <w:szCs w:val="19"/>
        </w:rPr>
      </w:pPr>
      <w:r>
        <w:rPr>
          <w:rFonts w:hint="eastAsia" w:ascii="仿宋" w:hAnsi="仿宋" w:eastAsia="仿宋" w:cs="仿宋"/>
          <w:sz w:val="32"/>
          <w:szCs w:val="32"/>
        </w:rPr>
        <w:t>二是</w:t>
      </w:r>
      <w:r>
        <w:rPr>
          <w:rFonts w:hint="eastAsia" w:ascii="仿宋_GB2312" w:hAnsi="仿宋_GB2312" w:eastAsia="仿宋_GB2312" w:cs="仿宋_GB2312"/>
          <w:sz w:val="32"/>
          <w:szCs w:val="32"/>
          <w:lang w:val="en-US" w:eastAsia="zh-CN"/>
        </w:rPr>
        <w:t>深入学习</w:t>
      </w:r>
      <w:r>
        <w:rPr>
          <w:rFonts w:hint="eastAsia" w:ascii="仿宋_GB2312" w:hAnsi="仿宋_GB2312" w:eastAsia="仿宋_GB2312" w:cs="仿宋_GB2312"/>
          <w:sz w:val="32"/>
          <w:szCs w:val="32"/>
        </w:rPr>
        <w:t>，进一步提高公开</w:t>
      </w:r>
      <w:r>
        <w:rPr>
          <w:rFonts w:hint="eastAsia" w:ascii="仿宋_GB2312" w:hAnsi="仿宋_GB2312" w:eastAsia="仿宋_GB2312" w:cs="仿宋_GB2312"/>
          <w:sz w:val="32"/>
          <w:szCs w:val="32"/>
          <w:lang w:val="en-US" w:eastAsia="zh-CN"/>
        </w:rPr>
        <w:t>质量。</w:t>
      </w:r>
      <w:r>
        <w:rPr>
          <w:rFonts w:hint="eastAsia" w:ascii="仿宋_GB2312" w:hAnsi="仿宋_GB2312" w:eastAsia="仿宋_GB2312" w:cs="仿宋_GB2312"/>
          <w:sz w:val="32"/>
          <w:szCs w:val="32"/>
        </w:rPr>
        <w:t>加强对政府信息公开工作人员的业务培训，提高工作人员的服务水平；为广大公众提供更便捷、更系统、更有效的信息公开查询服务，促进信息公开与办事公开的有机结合，以政府信息公开带动办事公开，以办事公开带动便民服务。</w:t>
      </w:r>
      <w:r>
        <w:rPr>
          <w:rFonts w:ascii="sans-serif" w:hAnsi="sans-serif" w:eastAsia="sans-serif" w:cs="sans-serif"/>
          <w:sz w:val="19"/>
          <w:szCs w:val="19"/>
        </w:rPr>
        <w:t> </w:t>
      </w:r>
    </w:p>
    <w:p>
      <w:pPr>
        <w:pStyle w:val="3"/>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eastAsia" w:ascii="仿宋" w:hAnsi="仿宋" w:eastAsia="仿宋" w:cs="仿宋"/>
          <w:sz w:val="32"/>
          <w:szCs w:val="32"/>
        </w:rPr>
        <w:t xml:space="preserve">三是加强新媒体公开力度。进一步完善政务微信公众号，加大信息发布力度，加强政策解读和释疑，积极回应社会关切问题，切实提高办事透明度。 </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仿宋_GB2312" w:hAnsi="仿宋_GB2312" w:eastAsia="仿宋_GB2312" w:cs="仿宋_GB2312"/>
          <w:b/>
          <w:bCs w:val="0"/>
          <w:color w:val="333333"/>
          <w:sz w:val="32"/>
          <w:szCs w:val="32"/>
        </w:rPr>
      </w:pPr>
      <w:r>
        <w:rPr>
          <w:rFonts w:hint="eastAsia" w:ascii="仿宋_GB2312" w:hAnsi="仿宋_GB2312" w:eastAsia="仿宋_GB2312" w:cs="仿宋_GB2312"/>
          <w:b/>
          <w:bCs w:val="0"/>
          <w:color w:val="333333"/>
          <w:sz w:val="32"/>
          <w:szCs w:val="32"/>
          <w:shd w:val="clear" w:color="auto" w:fill="FFFFFF"/>
        </w:rPr>
        <w:t>六、其他需要报告的事项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333333"/>
          <w:sz w:val="32"/>
          <w:szCs w:val="32"/>
          <w:shd w:val="clear" w:color="auto" w:fill="FFFFFF"/>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406EE"/>
    <w:multiLevelType w:val="singleLevel"/>
    <w:tmpl w:val="689406E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F5B8C"/>
    <w:rsid w:val="240F04E1"/>
    <w:rsid w:val="307B0568"/>
    <w:rsid w:val="69112737"/>
    <w:rsid w:val="6F1A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800080"/>
      <w:u w:val="single"/>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嗯你好呀</cp:lastModifiedBy>
  <dcterms:modified xsi:type="dcterms:W3CDTF">2020-01-30T02:05:38Z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