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会昌县人民法院2019年部门预算草案编制说明</w:t>
      </w:r>
    </w:p>
    <w:p>
      <w:pPr>
        <w:spacing w:line="520" w:lineRule="exact"/>
        <w:rPr>
          <w:rFonts w:ascii="仿宋" w:hAnsi="仿宋" w:eastAsia="仿宋"/>
          <w:b/>
          <w:bCs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" w:eastAsia="仿宋_GB2312"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一、部门职责和基本情况：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会昌县人民法院是国家的审判机关，肩负着打击犯罪，保护人民，服务经济建设，维护社会稳定的重要职责，对县人民代表大会及其常务委员会负责并报告工作。内设机构</w:t>
      </w:r>
      <w:r>
        <w:rPr>
          <w:rFonts w:ascii="仿宋_GB2312" w:hAnsi="仿宋" w:eastAsia="仿宋_GB2312"/>
          <w:bCs/>
          <w:color w:val="auto"/>
          <w:sz w:val="32"/>
          <w:szCs w:val="32"/>
        </w:rPr>
        <w:t>15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个，编制数</w:t>
      </w:r>
      <w:r>
        <w:rPr>
          <w:rFonts w:ascii="仿宋_GB2312" w:hAnsi="仿宋" w:eastAsia="仿宋_GB2312"/>
          <w:bCs/>
          <w:color w:val="auto"/>
          <w:sz w:val="32"/>
          <w:szCs w:val="32"/>
        </w:rPr>
        <w:t>77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人，在职人数</w:t>
      </w:r>
      <w:r>
        <w:rPr>
          <w:rFonts w:ascii="仿宋_GB2312" w:hAnsi="仿宋" w:eastAsia="仿宋_GB2312"/>
          <w:bCs/>
          <w:color w:val="auto"/>
          <w:sz w:val="32"/>
          <w:szCs w:val="32"/>
        </w:rPr>
        <w:t>67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人，退休人员</w:t>
      </w:r>
      <w:r>
        <w:rPr>
          <w:rFonts w:ascii="仿宋_GB2312" w:hAnsi="仿宋" w:eastAsia="仿宋_GB2312"/>
          <w:bCs/>
          <w:color w:val="auto"/>
          <w:sz w:val="32"/>
          <w:szCs w:val="32"/>
        </w:rPr>
        <w:t>23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二、收支情况说明：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会昌县人民法院（包括下属单位）2019年收入预算总额为</w:t>
      </w:r>
      <w:r>
        <w:rPr>
          <w:rFonts w:ascii="仿宋_GB2312" w:hAnsi="仿宋" w:eastAsia="仿宋_GB2312"/>
          <w:bCs/>
          <w:color w:val="auto"/>
          <w:sz w:val="32"/>
          <w:szCs w:val="32"/>
        </w:rPr>
        <w:t>3369.41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万元，其中：财政拨款收入</w:t>
      </w:r>
      <w:r>
        <w:rPr>
          <w:rFonts w:ascii="仿宋_GB2312" w:hAnsi="仿宋" w:eastAsia="仿宋_GB2312"/>
          <w:bCs/>
          <w:color w:val="auto"/>
          <w:sz w:val="32"/>
          <w:szCs w:val="32"/>
        </w:rPr>
        <w:t>1863.13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万元，上年结转收入</w:t>
      </w:r>
      <w:r>
        <w:rPr>
          <w:rFonts w:ascii="仿宋_GB2312" w:hAnsi="仿宋" w:eastAsia="仿宋_GB2312"/>
          <w:bCs/>
          <w:color w:val="auto"/>
          <w:sz w:val="32"/>
          <w:szCs w:val="32"/>
        </w:rPr>
        <w:t>1506.28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万元。支出预算总额为</w:t>
      </w:r>
      <w:r>
        <w:rPr>
          <w:rFonts w:ascii="仿宋_GB2312" w:hAnsi="仿宋" w:eastAsia="仿宋_GB2312"/>
          <w:bCs/>
          <w:color w:val="auto"/>
          <w:sz w:val="32"/>
          <w:szCs w:val="32"/>
        </w:rPr>
        <w:t>3369.41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万元。</w:t>
      </w: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按支出类别划分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：基本支出</w:t>
      </w:r>
      <w:r>
        <w:rPr>
          <w:rFonts w:ascii="仿宋_GB2312" w:hAnsi="仿宋" w:eastAsia="仿宋_GB2312"/>
          <w:bCs/>
          <w:color w:val="auto"/>
          <w:sz w:val="32"/>
          <w:szCs w:val="32"/>
        </w:rPr>
        <w:t>2919.72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万元，占支出预算总额的</w:t>
      </w:r>
      <w:r>
        <w:rPr>
          <w:rFonts w:ascii="仿宋_GB2312" w:hAnsi="仿宋" w:eastAsia="仿宋_GB2312"/>
          <w:bCs/>
          <w:color w:val="auto"/>
          <w:sz w:val="32"/>
          <w:szCs w:val="32"/>
        </w:rPr>
        <w:t>86.65%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，包括工资福利支出</w:t>
      </w:r>
      <w:r>
        <w:rPr>
          <w:rFonts w:ascii="仿宋_GB2312" w:hAnsi="仿宋" w:eastAsia="仿宋_GB2312"/>
          <w:bCs/>
          <w:color w:val="auto"/>
          <w:sz w:val="32"/>
          <w:szCs w:val="32"/>
        </w:rPr>
        <w:t>1009.43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万元、商品和服务支出</w:t>
      </w:r>
      <w:r>
        <w:rPr>
          <w:rFonts w:ascii="仿宋_GB2312" w:hAnsi="仿宋" w:eastAsia="仿宋_GB2312"/>
          <w:bCs/>
          <w:color w:val="auto"/>
          <w:sz w:val="32"/>
          <w:szCs w:val="32"/>
        </w:rPr>
        <w:t xml:space="preserve"> 1709.70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万元、对个人和家庭的补助支</w:t>
      </w:r>
      <w:r>
        <w:rPr>
          <w:rFonts w:ascii="仿宋_GB2312" w:hAnsi="仿宋" w:eastAsia="仿宋_GB2312"/>
          <w:bCs/>
          <w:color w:val="auto"/>
          <w:sz w:val="32"/>
          <w:szCs w:val="32"/>
        </w:rPr>
        <w:t>40.59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万元、资本性支出</w:t>
      </w:r>
      <w:r>
        <w:rPr>
          <w:rFonts w:ascii="仿宋_GB2312" w:hAnsi="仿宋" w:eastAsia="仿宋_GB2312"/>
          <w:bCs/>
          <w:color w:val="auto"/>
          <w:sz w:val="32"/>
          <w:szCs w:val="32"/>
        </w:rPr>
        <w:t>160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万元；项目支出</w:t>
      </w:r>
      <w:r>
        <w:rPr>
          <w:rFonts w:ascii="仿宋_GB2312" w:hAnsi="仿宋" w:eastAsia="仿宋_GB2312"/>
          <w:bCs/>
          <w:color w:val="auto"/>
          <w:sz w:val="32"/>
          <w:szCs w:val="32"/>
        </w:rPr>
        <w:t>449.69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万元。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按支出功能科目划分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：公共安全支出</w:t>
      </w:r>
      <w:r>
        <w:rPr>
          <w:rFonts w:ascii="仿宋_GB2312" w:hAnsi="仿宋" w:eastAsia="仿宋_GB2312"/>
          <w:color w:val="auto"/>
          <w:sz w:val="32"/>
          <w:szCs w:val="32"/>
        </w:rPr>
        <w:t>3192.83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万元，社会保障和就业支出</w:t>
      </w:r>
      <w:r>
        <w:rPr>
          <w:rFonts w:ascii="仿宋_GB2312" w:hAnsi="仿宋" w:eastAsia="仿宋_GB2312"/>
          <w:color w:val="auto"/>
          <w:sz w:val="32"/>
          <w:szCs w:val="32"/>
        </w:rPr>
        <w:t>92.49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万元，医疗卫生与计划生育支出</w:t>
      </w:r>
      <w:r>
        <w:rPr>
          <w:rFonts w:ascii="仿宋_GB2312" w:hAnsi="仿宋" w:eastAsia="仿宋_GB2312"/>
          <w:color w:val="auto"/>
          <w:sz w:val="32"/>
          <w:szCs w:val="32"/>
        </w:rPr>
        <w:t>28.59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万元，住房保障支出</w:t>
      </w:r>
      <w:r>
        <w:rPr>
          <w:rFonts w:ascii="仿宋_GB2312" w:hAnsi="仿宋" w:eastAsia="仿宋_GB2312"/>
          <w:color w:val="auto"/>
          <w:sz w:val="32"/>
          <w:szCs w:val="32"/>
        </w:rPr>
        <w:t>55.5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三、“三公经费”增减变化情况：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因公出国（境）费无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支出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；公务接待费</w:t>
      </w:r>
      <w:r>
        <w:rPr>
          <w:rFonts w:ascii="仿宋_GB2312" w:hAnsi="仿宋" w:eastAsia="仿宋_GB2312"/>
          <w:color w:val="auto"/>
          <w:sz w:val="32"/>
          <w:szCs w:val="32"/>
        </w:rPr>
        <w:t>35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万元，与上年持平；公务用车运行维护费</w:t>
      </w:r>
      <w:r>
        <w:rPr>
          <w:rFonts w:ascii="仿宋_GB2312" w:hAnsi="仿宋" w:eastAsia="仿宋_GB2312"/>
          <w:color w:val="auto"/>
          <w:sz w:val="32"/>
          <w:szCs w:val="32"/>
        </w:rPr>
        <w:t>96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万元，与上年持平。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四、政府采购情况：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采购预算</w:t>
      </w:r>
      <w:r>
        <w:rPr>
          <w:rFonts w:ascii="仿宋_GB2312" w:hAnsi="仿宋" w:eastAsia="仿宋_GB2312"/>
          <w:color w:val="auto"/>
          <w:sz w:val="32"/>
          <w:szCs w:val="32"/>
        </w:rPr>
        <w:t>160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万元，采购项目</w:t>
      </w:r>
      <w:r>
        <w:rPr>
          <w:rFonts w:ascii="仿宋_GB2312" w:hAnsi="仿宋" w:eastAsia="仿宋_GB2312"/>
          <w:color w:val="auto"/>
          <w:sz w:val="32"/>
          <w:szCs w:val="32"/>
        </w:rPr>
        <w:t>6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宗。</w:t>
      </w:r>
    </w:p>
    <w:p>
      <w:pPr>
        <w:ind w:firstLine="643" w:firstLineChars="200"/>
        <w:rPr>
          <w:color w:val="auto"/>
        </w:rPr>
      </w:pPr>
      <w:bookmarkStart w:id="0" w:name="_GoBack"/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五、名词解释：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“三公”经费：是指因公出国（境）费、公务用车购置及运行费和公务接待费。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C47E5"/>
    <w:rsid w:val="0BEC47E5"/>
    <w:rsid w:val="2F9072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2019-06-06T03:49:00Z</dcterms:created>
  <dc:creator>Administrator</dc:creator>
  <cp:lastModifiedBy>谢涛</cp:lastModifiedBy>
  <dcterms:modified xsi:type="dcterms:W3CDTF">2021-05-27T01:06:59Z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