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会昌县委县政府督查组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2019年部门预算草案编制说明</w:t>
      </w:r>
    </w:p>
    <w:p>
      <w:pPr>
        <w:spacing w:line="520" w:lineRule="exact"/>
        <w:jc w:val="center"/>
        <w:rPr>
          <w:rFonts w:hint="eastAsia" w:ascii="宋体" w:hAnsi="宋体" w:eastAsia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/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督查组是县委县政府设立的临时机构，现有从各单位抽调的人员</w:t>
      </w:r>
      <w:r>
        <w:rPr>
          <w:rFonts w:hint="eastAsia" w:ascii="宋体" w:hAnsi="宋体" w:eastAsia="仿宋_GB2312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人。主要职责是督查落实县委、县政府阶段性中心工作、重大会议、文件的决策部署，县委、县政府主要领导批示、交办事项以及县</w:t>
      </w:r>
      <w:r>
        <w:rPr>
          <w:rFonts w:hint="eastAsia" w:ascii="宋体" w:hAnsi="宋体" w:eastAsia="仿宋_GB2312"/>
          <w:color w:val="auto"/>
          <w:sz w:val="32"/>
          <w:szCs w:val="32"/>
        </w:rPr>
        <w:t>“六大攻坚战”指挥部日常事务、与各领导小组之间的信息沟通、工作交流、督促检查、协调、调度督促各领导小组落实指挥部的决定事项、工作部署和要求等。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县委县政府督查组</w:t>
      </w:r>
      <w:r>
        <w:rPr>
          <w:rFonts w:hint="eastAsia" w:ascii="宋体" w:hAnsi="宋体" w:eastAsia="仿宋_GB2312"/>
          <w:color w:val="auto"/>
          <w:sz w:val="32"/>
          <w:szCs w:val="32"/>
        </w:rPr>
        <w:t>2019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年收入预算总额为</w:t>
      </w:r>
      <w:r>
        <w:rPr>
          <w:rFonts w:hint="eastAsia" w:ascii="宋体" w:hAnsi="宋体" w:eastAsia="仿宋_GB2312"/>
          <w:color w:val="auto"/>
          <w:sz w:val="32"/>
          <w:szCs w:val="32"/>
        </w:rPr>
        <w:t>227.86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万元，其中：财政拨款收入</w:t>
      </w:r>
      <w:r>
        <w:rPr>
          <w:rFonts w:hint="eastAsia" w:ascii="宋体" w:hAnsi="宋体" w:eastAsia="仿宋_GB2312"/>
          <w:color w:val="auto"/>
          <w:sz w:val="32"/>
          <w:szCs w:val="32"/>
        </w:rPr>
        <w:t>130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万元，上年结余</w:t>
      </w:r>
      <w:r>
        <w:rPr>
          <w:rFonts w:hint="eastAsia" w:ascii="宋体" w:hAnsi="宋体" w:eastAsia="仿宋_GB2312"/>
          <w:color w:val="auto"/>
          <w:sz w:val="32"/>
          <w:szCs w:val="32"/>
        </w:rPr>
        <w:t>97.86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按支出类别划分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：基本支出</w:t>
      </w:r>
      <w:r>
        <w:rPr>
          <w:rFonts w:hint="eastAsia" w:ascii="宋体" w:hAnsi="宋体" w:eastAsia="仿宋_GB2312"/>
          <w:color w:val="auto"/>
          <w:sz w:val="32"/>
          <w:szCs w:val="32"/>
        </w:rPr>
        <w:t>227.86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万元，占支出预算总额的</w:t>
      </w:r>
      <w:r>
        <w:rPr>
          <w:rFonts w:hint="eastAsia" w:ascii="宋体" w:hAnsi="宋体" w:eastAsia="仿宋_GB2312"/>
          <w:color w:val="auto"/>
          <w:sz w:val="32"/>
          <w:szCs w:val="32"/>
        </w:rPr>
        <w:t>100%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，包括商品和服务支出</w:t>
      </w:r>
      <w:r>
        <w:rPr>
          <w:rFonts w:hint="eastAsia" w:ascii="宋体" w:hAnsi="宋体"/>
          <w:color w:val="auto"/>
          <w:sz w:val="32"/>
          <w:szCs w:val="32"/>
        </w:rPr>
        <w:t>212.86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万元、资本性支出</w:t>
      </w:r>
      <w:r>
        <w:rPr>
          <w:rFonts w:hint="eastAsia" w:ascii="宋体" w:hAnsi="宋体" w:eastAsia="仿宋_GB2312"/>
          <w:color w:val="auto"/>
          <w:sz w:val="32"/>
          <w:szCs w:val="32"/>
        </w:rPr>
        <w:t>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按支出科目划分：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一般公共服务支出</w:t>
      </w:r>
      <w:r>
        <w:rPr>
          <w:rFonts w:hint="eastAsia" w:ascii="宋体" w:hAnsi="宋体" w:eastAsia="仿宋_GB2312"/>
          <w:color w:val="auto"/>
          <w:sz w:val="32"/>
          <w:szCs w:val="32"/>
        </w:rPr>
        <w:t>227.86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三、</w:t>
      </w:r>
      <w:r>
        <w:rPr>
          <w:rFonts w:hint="eastAsia" w:ascii="宋体" w:hAnsi="宋体" w:eastAsia="仿宋_GB2312"/>
          <w:b/>
          <w:bCs/>
          <w:color w:val="auto"/>
          <w:sz w:val="32"/>
          <w:szCs w:val="32"/>
        </w:rPr>
        <w:t>“三公经费”增减变化情况：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因公出国（境）费无支出；公务接待费</w:t>
      </w:r>
      <w:r>
        <w:rPr>
          <w:rFonts w:hint="eastAsia" w:ascii="宋体" w:hAnsi="宋体" w:eastAsia="仿宋_GB2312"/>
          <w:color w:val="auto"/>
          <w:sz w:val="32"/>
          <w:szCs w:val="32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万元，与上年持平；公务用车运行维护费无支出。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采购预算</w:t>
      </w:r>
      <w:r>
        <w:rPr>
          <w:rFonts w:hint="eastAsia" w:ascii="宋体" w:hAnsi="宋体" w:eastAsia="仿宋_GB2312"/>
          <w:color w:val="auto"/>
          <w:sz w:val="32"/>
          <w:szCs w:val="32"/>
        </w:rPr>
        <w:t>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万元，采购项目</w:t>
      </w:r>
      <w:r>
        <w:rPr>
          <w:rFonts w:hint="eastAsia" w:ascii="宋体" w:hAnsi="宋体" w:eastAsia="仿宋_GB2312"/>
          <w:color w:val="auto"/>
          <w:sz w:val="32"/>
          <w:szCs w:val="32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bookmarkStart w:id="0" w:name="_GoBack"/>
      <w:bookmarkEnd w:id="0"/>
      <w:r>
        <w:rPr>
          <w:rFonts w:hint="default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600" w:lineRule="exact"/>
        <w:ind w:firstLine="420" w:firstLineChars="200"/>
        <w:rPr>
          <w:rFonts w:hint="eastAsia" w:ascii="Times New Roman" w:hAnsi="Times New Roman"/>
          <w:color w:val="auto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64FC7"/>
    <w:rsid w:val="58464FC7"/>
    <w:rsid w:val="63961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xdtextbox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2019-06-06T03:39:00Z</dcterms:created>
  <dc:creator>Administrator</dc:creator>
  <cp:lastModifiedBy>Administrator</cp:lastModifiedBy>
  <dcterms:modified xsi:type="dcterms:W3CDTF">2019-06-08T02:21:11Z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