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会昌县工商联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年部门预算草案编制说明</w:t>
      </w:r>
    </w:p>
    <w:p>
      <w:pPr>
        <w:spacing w:line="520" w:lineRule="exact"/>
        <w:rPr>
          <w:rFonts w:hint="eastAsia" w:ascii="仿宋" w:hAnsi="仿宋" w:eastAsia="仿宋"/>
          <w:b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一、部门基本情况：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会昌县工商联的主要职责是：参与国家大政方针及政治、经济、社会生活中的重要问题的政治协商，参政议政，民主监督指导、联系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商会，组建外埠商会，推进“会商回归”，服务招商引资工作。内设机构1个，编制数5人，其中行政编制2人，事业编制3人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在职人数6人，退休人员1人。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会昌县工商联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年收入预算总额为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114.77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万元，其中：财政拨款收入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85.91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万元，上年结转收入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28.86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万元。支出预算总额为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114.77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：基本支出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114.77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万元，占支出预算总额的100%，包括工资福利支出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50.94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万元、商品和服务支出 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63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万元、对个人和家庭的补助支出0.8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：一般公共服务支出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101.8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万元，社会保障</w:t>
      </w:r>
      <w:bookmarkStart w:id="0" w:name="_GoBack"/>
      <w:bookmarkEnd w:id="0"/>
      <w:r>
        <w:rPr>
          <w:rFonts w:hint="eastAsia" w:ascii="仿宋_GB2312" w:hAnsi="仿宋" w:eastAsia="仿宋_GB2312"/>
          <w:color w:val="auto"/>
          <w:sz w:val="32"/>
          <w:szCs w:val="32"/>
        </w:rPr>
        <w:t>和就业支出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6.07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万元，卫生健康支出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2.35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万元，住房保障支出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4.55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因公出国（境）费无支出；公务接待费5万元，与上年持平；公务用车运行维护费无支出。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</w:pP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72298"/>
    <w:rsid w:val="2A7B1EC9"/>
    <w:rsid w:val="2B043D3C"/>
    <w:rsid w:val="377D0F20"/>
    <w:rsid w:val="38472298"/>
    <w:rsid w:val="616A738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5">
    <w:name w:val="font31"/>
    <w:basedOn w:val="2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2020-01-17T03:04:00Z</dcterms:created>
  <dc:creator>Administrator</dc:creator>
  <cp:lastModifiedBy>Administrator</cp:lastModifiedBy>
  <cp:lastPrinted>2020-01-18T08:20:00Z</cp:lastPrinted>
  <dcterms:modified xsi:type="dcterms:W3CDTF">2020-02-05T08:34:30Z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